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Australia</w:t>
      </w:r>
      <w:r>
        <w:t xml:space="preserve"> </w:t>
      </w:r>
      <w:r>
        <w:t xml:space="preserve">Sydney:</w:t>
      </w:r>
      <w:r>
        <w:t xml:space="preserve"> </w:t>
      </w:r>
      <w:r>
        <w:t xml:space="preserve">Navigating</w:t>
      </w:r>
      <w:r>
        <w:t xml:space="preserve"> </w:t>
      </w:r>
      <w:r>
        <w:t xml:space="preserve">Complexity</w:t>
      </w:r>
      <w:r>
        <w:t xml:space="preserve"> </w:t>
      </w:r>
      <w:r>
        <w:t xml:space="preserve">and</w:t>
      </w:r>
      <w:r>
        <w:t xml:space="preserve"> </w:t>
      </w:r>
      <w:r>
        <w:t xml:space="preserve">Compliance</w:t>
      </w:r>
    </w:p>
    <w:bookmarkStart w:id="23" w:name="X626ce1bb91c63216e5cccdefbd450b86a6b350d"/>
    <w:p>
      <w:pPr>
        <w:pStyle w:val="Heading1"/>
      </w:pPr>
      <w:r>
        <w:t xml:space="preserve">The Evolving Role of the Human Resources Manager in Australia Sydney</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An analysis of strategic HR practices, regulatory compliance, and talent acquisition within the dynamic economic landscape of Australia Sydney.</w:t>
      </w:r>
    </w:p>
    <w:bookmarkStart w:id="20" w:name="abstract"/>
    <w:p>
      <w:pPr>
        <w:pStyle w:val="Heading3"/>
      </w:pPr>
      <w:r>
        <w:t xml:space="preserve">Abstract</w:t>
      </w:r>
    </w:p>
    <w:p>
      <w:pPr>
        <w:pStyle w:val="FirstParagraph"/>
      </w:pPr>
      <w:r>
        <w:t xml:space="preserve">This research paper examines the multifaceted responsibilities of a Human Resources Manager operating within the specific context of Australia Sydney. As one of the most diverse and economically vibrant cities in the Asia-Pacific region, Australia Sydney presents unique challenges and opportunities for human capital management. This document explores critical areas including adherence to Australian labor laws, managing cross-cultural diversity, navigating remote work transitions post-pandemic, and implementing strategic retention models. The findings suggest that successful HR leadership in this jurisdiction requires a blend of legal rigor, cultural intelligence,</w:t>
      </w:r>
    </w:p>
    <w:bookmarkEnd w:id="20"/>
    <w:bookmarkStart w:id="21" w:name="introduction"/>
    <w:p>
      <w:pPr>
        <w:pStyle w:val="Heading2"/>
      </w:pPr>
      <w:r>
        <w:t xml:space="preserve">1. Introduction</w:t>
      </w:r>
    </w:p>
    <w:p>
      <w:pPr>
        <w:pStyle w:val="FirstParagraph"/>
      </w:pPr>
      <w:r>
        <w:t xml:space="preserve">In the contemporary global business environment, the role of the Human Resources Manager has transcended traditional administrative functions to become a strategic partner in organizational success. Nowhere is this transformation more evident than in Australia Sydney, a hub for finance, technology, and professional services. The city’s competitive labor market demands HR professionals who possess not only operational efficiency but also deep insights into local legislation and cultural dynamics. This paper investigates the specific competencies required for an Human Resources Manager to thrive in Australia Sydney, emphasizing the intersection of national regulatory frameworks with local market nuances.</w:t>
      </w:r>
    </w:p>
    <w:bookmarkEnd w:id="21"/>
    <w:bookmarkStart w:id="22" w:name="Xa7bc6b807f70057d988835e3bab74310dcd9995"/>
    <w:p>
      <w:pPr>
        <w:pStyle w:val="Heading2"/>
      </w:pPr>
      <w:r>
        <w:t xml:space="preserve">2. The Regulatory Landscape: Compliance as a Foundation</w:t>
      </w:r>
    </w:p>
    <w:p>
      <w:pPr>
        <w:pStyle w:val="FirstParagraph"/>
      </w:pPr>
      <w:r>
        <w:t xml:space="preserve">The primary mandate for any Human Resources Manager in this jurisdiction is strict adherence to the Fair Work Act 2009 and subsequent amendments. In Australia Sydney, where labor disputes can significantly impact business continuity, compliance is not merely a legal requirement but a strategic imperative. The manager must possess expert knowledge of modern awards, enterprise agreements, and the National Employment Standards (NES).</w:t>
      </w:r>
    </w:p>
    <w:p>
      <w:pPr>
        <w:pStyle w:val="BodyText"/>
      </w:pPr>
      <w:r>
        <w:t xml:space="preserve">Furthermore,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Management in Australia Sydney: Navigating Complexity and Compliance</dc:title>
  <dc:creator/>
  <dc:language>en</dc:language>
  <cp:keywords/>
  <dcterms:created xsi:type="dcterms:W3CDTF">2026-07-29T18:39:07Z</dcterms:created>
  <dcterms:modified xsi:type="dcterms:W3CDTF">2026-07-29T18:39:07Z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