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Critical</w:t>
      </w:r>
      <w:r>
        <w:t xml:space="preserve"> </w:t>
      </w:r>
      <w:r>
        <w:t xml:space="preserve">Analysis</w:t>
      </w:r>
    </w:p>
    <w:bookmarkStart w:id="27" w:name="X8347e5fb5db6098bdeb14f85d3c3f1777958374"/>
    <w:p>
      <w:pPr>
        <w:pStyle w:val="Heading1"/>
      </w:pPr>
      <w:r>
        <w:t xml:space="preserve">The Role and Challenges of the Judge in Sudan Khartoum: A Critical Analysis</w:t>
      </w:r>
    </w:p>
    <w:p>
      <w:pPr>
        <w:pStyle w:val="FirstParagraph"/>
      </w:pPr>
      <w:r>
        <w:rPr>
          <w:bCs/>
          <w:b/>
        </w:rPr>
        <w:t xml:space="preserve">Abstract:</w:t>
      </w:r>
    </w:p>
    <w:p>
      <w:pPr>
        <w:pStyle w:val="BodyText"/>
      </w:pPr>
      <w:r>
        <w:t xml:space="preserve">This paper examines the multifaceted role of the judge within the legal framework of Sudan Khartoum. Amidst political instability and transitional justice processes, judges in Sudan face unique challenges regarding judicial independence, procedural fairness, and public trust. This research explores the structural constraints on judicial authority in Khartoum’s courts while highlighting recent reforms aimed at strengthening rule of law.</w:t>
      </w:r>
    </w:p>
    <w:bookmarkStart w:id="20" w:name="introduction"/>
    <w:p>
      <w:pPr>
        <w:pStyle w:val="Heading2"/>
      </w:pPr>
      <w:r>
        <w:t xml:space="preserve">Introduction</w:t>
      </w:r>
    </w:p>
    <w:p>
      <w:pPr>
        <w:pStyle w:val="FirstParagraph"/>
      </w:pPr>
      <w:r>
        <w:t xml:space="preserve">The institution of the judiciary serves as a cornerstone of democratic governance, ensuring that laws are applied impartially and consistently across society. In Sudan Khartoum, however, the role of the judge has been deeply complicated by decades of political turbulence, authoritarian rule under Omar al-Bashir’s regime (1989–2019), and ongoing post-revolutionary transitions following the October 2021 coup attempt. As Sudan navigates its path toward democratic consolidation, understanding how judges operate within this volatile context becomes essential for assessing whether justice can be served effectively.</w:t>
      </w:r>
    </w:p>
    <w:p>
      <w:pPr>
        <w:pStyle w:val="BodyText"/>
      </w:pPr>
      <w:r>
        <w:t xml:space="preserve">Sudan Khartoum is not only the political capital but also the center of legal activity in the country. It hosts major institutions including the Supreme Court, Appellate Courts, and specialized tribunals dealing with economic crimes, terrorism-related offenses, and military matters. Judges operating in these courts must balance competing pressures — from executive interference to demands for accountability from civil society groups advocating human rights protections.</w:t>
      </w:r>
    </w:p>
    <w:bookmarkEnd w:id="20"/>
    <w:bookmarkStart w:id="21" w:name="Xa344f7be4a49e5ba933aecb938a0e45da7dad98"/>
    <w:p>
      <w:pPr>
        <w:pStyle w:val="Heading2"/>
      </w:pPr>
      <w:r>
        <w:t xml:space="preserve">Historical Context of Judicial Independence in Sudan</w:t>
      </w:r>
    </w:p>
    <w:p>
      <w:pPr>
        <w:pStyle w:val="FirstParagraph"/>
      </w:pPr>
      <w:r>
        <w:t xml:space="preserve">To understand the current position of the judge in Sudan Khartoum, one must first consider historical precedents. During much of its modern history, particularly under General Gaafar Nimeiry (1969–1985) and later Omar al-Bashir, judicial independence was severely curtailed. Laws such as Article 126(2) of the 1983 Interim Constitution allowed direct presidential appointments to key judicial positions without oversight or merit-based selection criteria.</w:t>
      </w:r>
    </w:p>
    <w:p>
      <w:pPr>
        <w:pStyle w:val="BodyText"/>
      </w:pPr>
      <w:r>
        <w:t xml:space="preserve">Under Bashir’s Islamization policies introduced via Nizam al-Ahkam, Sharia law became dominant in civil cases, further politicizing court proceedings. Judges were often expected to align rulings with state ideology rather than legal principles alone. This period saw widespread reports of arbitrary detentions, show trials against opposition figures, and limited appeal mechanisms — all indicators of compromised judicial integrity.</w:t>
      </w:r>
    </w:p>
    <w:bookmarkEnd w:id="21"/>
    <w:bookmarkStart w:id="22" w:name="the-post-2019-transition-and-reforms"/>
    <w:p>
      <w:pPr>
        <w:pStyle w:val="Heading2"/>
      </w:pPr>
      <w:r>
        <w:t xml:space="preserve">The Post-2019 Transition and Reforms</w:t>
      </w:r>
    </w:p>
    <w:p>
      <w:pPr>
        <w:pStyle w:val="FirstParagraph"/>
      </w:pPr>
      <w:r>
        <w:t xml:space="preserve">The ousting of Omar al-Bashir in April 2019 marked a turning point for Sudan’s judiciary. The transitional government established the Sovereign Council and began implementing reforms designed to restore judicial autonomy. One significant development was the creation of the Independent Commission on Judicial Appointments, intended to reduce executive influence over court staffing.</w:t>
      </w:r>
    </w:p>
    <w:p>
      <w:pPr>
        <w:pStyle w:val="BodyText"/>
      </w:pPr>
      <w:r>
        <w:t xml:space="preserve">In addition, efforts were made to review controversial legislation inherited from Bashir’s era — including parts of the 1991 Penal Code that criminalized apostasy and punished dissent harshly. These changes signaled an intention by reform-minded leaders in Sudan Khartoum to align domestic law with international human rights standards.</w:t>
      </w:r>
    </w:p>
    <w:p>
      <w:pPr>
        <w:pStyle w:val="BodyText"/>
      </w:pPr>
      <w:r>
        <w:t xml:space="preserve">Yet implementation remains inconsistent. While some progressive rulings emerged from higher courts in Khartoum, lower-level judges continued operating under inherited norms resistant to change. Moreover, the military takeover of October 2021 disrupted transitional plans and reasserted control over critical institutions — including parts of the judiciary — reversing many hard-won gains.</w:t>
      </w:r>
    </w:p>
    <w:bookmarkEnd w:id="22"/>
    <w:bookmarkStart w:id="24" w:name="contemporary-challenges-faced-by-judges"/>
    <w:p>
      <w:pPr>
        <w:pStyle w:val="Heading2"/>
      </w:pPr>
      <w:r>
        <w:t xml:space="preserve">Contemporary Challenges Faced by Judges</w:t>
      </w:r>
    </w:p>
    <w:p>
      <w:pPr>
        <w:pStyle w:val="FirstParagraph"/>
      </w:pPr>
      <w:r>
        <w:t xml:space="preserve">The modern-day judge in Sudan Khartoum confronts numerous obstacles affecting both functionality and legitimacy. Chief among them is lack of adequate resources: overcrowded dockets, insufficient staffing, outdated facilities, and limited access to training opportunities contribute to delays and inconsistent decision-making.</w:t>
      </w:r>
    </w:p>
    <w:p>
      <w:pPr>
        <w:pStyle w:val="BodyText"/>
      </w:pPr>
      <w:r>
        <w:t xml:space="preserve">Besides resource constraints, judges frequently encounter pressure from powerful actors outside formal legal channels. Political elites may seek favorable outcomes through informal networks or threats disguised as “national security concerns.” In high-profile cases involving corruption allegations tied to former regimes, judges have reportedly faced intimidation tactics aimed at influencing verdicts.</w:t>
      </w:r>
    </w:p>
    <w:p>
      <w:pPr>
        <w:pStyle w:val="BodyText"/>
      </w:pPr>
      <w:r>
        <w:t xml:space="preserve">Another pressing issue involves gender disparity within the judiciary. Although women constitute approximately thirty percent of law graduates in Sudan, they remain significantly underrepresented among senior bench members in Khartoum’s appellate and supreme courts. Cultural barriers combined with systemic biases hinder equal opportunity advancement.</w:t>
      </w:r>
    </w:p>
    <w:bookmarkStart w:id="23" w:name="the-impact-of-hybrid-legal-systems"/>
    <w:p>
      <w:pPr>
        <w:pStyle w:val="Heading3"/>
      </w:pPr>
      <w:r>
        <w:t xml:space="preserve">The Impact of Hybrid Legal Systems</w:t>
      </w:r>
    </w:p>
    <w:p>
      <w:pPr>
        <w:pStyle w:val="FirstParagraph"/>
      </w:pPr>
      <w:r>
        <w:t xml:space="preserve">Sudan operates what scholars describe as a hybrid legal system blending elements derived from British common law traditions (via colonial legacy), customary norms practiced locally, and Islamic jurisprudence mandated constitutionally. For the judge navigating this complex terrain, interpreting statutes requires careful consideration of multiple sources simultaneously.</w:t>
      </w:r>
    </w:p>
    <w:p>
      <w:pPr>
        <w:pStyle w:val="BodyText"/>
      </w:pPr>
      <w:r>
        <w:t xml:space="preserve">In practice, this multiplicity sometimes leads to conflicting interpretations depending on which branch handles particular types of disputes. Criminal matters typically follow statutory codes heavily influenced by Sharia; commercial litigation might draw upon English common law precedents adapted over time through local application patterns. Such diversity demands extensive knowledge and flexibility from legal professionals serving in courts throughout Sudan Khartoum region.</w:t>
      </w:r>
    </w:p>
    <w:bookmarkEnd w:id="23"/>
    <w:bookmarkEnd w:id="24"/>
    <w:bookmarkStart w:id="25" w:name="Xf664724c16657ef25b92dbf55ebdcd4146ff709"/>
    <w:p>
      <w:pPr>
        <w:pStyle w:val="Heading2"/>
      </w:pPr>
      <w:r>
        <w:t xml:space="preserve">The Path Forward: Strengthening Judicial Integrity</w:t>
      </w:r>
    </w:p>
    <w:p>
      <w:pPr>
        <w:pStyle w:val="FirstParagraph"/>
      </w:pPr>
      <w:r>
        <w:t xml:space="preserve">For lasting reform to take root in Sudan, several strategic steps must be prioritized. First, transparent appointment procedures should replace opaque systems prone to nepotism and favoritism. Second, continuous professional development programs tailored specifically for judges working within urban centers like Khartoum would enhance capacity building around contemporary issues such as cybercrime prosecution protocols or digital evidence handling techniques.</w:t>
      </w:r>
    </w:p>
    <w:p>
      <w:pPr>
        <w:pStyle w:val="BodyText"/>
      </w:pPr>
      <w:r>
        <w:t xml:space="preserve">Thirdly, strengthening independent oversight bodies tasked with monitoring ethical conduct among judicial officers could help rebuild public confidence lost during years of perceived bias and corruption. Finally, encouraging greater participation of marginalized voices—including women lawyers and minority representation—within decision-making circles ensures more inclusive perspectives inform evolving legal frameworks moving forward.</w:t>
      </w:r>
    </w:p>
    <w:bookmarkEnd w:id="25"/>
    <w:bookmarkStart w:id="26" w:name="conclusion"/>
    <w:p>
      <w:pPr>
        <w:pStyle w:val="Heading2"/>
      </w:pPr>
      <w:r>
        <w:t xml:space="preserve">Conclusion</w:t>
      </w:r>
    </w:p>
    <w:p>
      <w:pPr>
        <w:pStyle w:val="FirstParagraph"/>
      </w:pPr>
      <w:r>
        <w:t xml:space="preserve">The figure known collectively as “the judge” represents far more than mere adjudicator in Sudan Khartoum’s landscape today—they embody hopes for equitable treatment under law amidst ongoing societal transformation. Despite significant hurdles posed by entrenched inequalities, external pressures, and institutional weaknesses evident across various jurisdictions nationwide, there remains room optimism given emerging trends favoring transparency and accountability measures spearheaded domestically alongside supportive international partnerships.</w:t>
      </w:r>
    </w:p>
    <w:p>
      <w:pPr>
        <w:pStyle w:val="BodyText"/>
      </w:pPr>
      <w:r>
        <w:t xml:space="preserve">Ultimately though progress hinges largely upon sustained commitment from stakeholders committed upholding core democratic values embedded within broader national reconciliation efforts underway currently throughout entire nation including capital city where most pivotal decisions impacting future direction unfold daily basis regardless complexity inherent therein.</w:t>
      </w:r>
    </w:p>
    <w:p>
      <w:pPr>
        <w:pStyle w:val="BodyText"/>
      </w:pPr>
      <w:r>
        <w:t xml:space="preserve">- Written for academic research purposes focusing on 'Research Paper', 'Judge', and 'Sudan Khartoum' themes.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Sudan Khartoum: A Critical Analysis</dc:title>
  <dc:creator/>
  <dc:language>en</dc:language>
  <cp:keywords/>
  <dcterms:created xsi:type="dcterms:W3CDTF">2026-07-29T19:37:49Z</dcterms:created>
  <dcterms:modified xsi:type="dcterms:W3CDTF">2026-07-29T19:37:49Z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