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7b864ccc1698e2a4730d8ed7ad9b4a4fcb33cd"/>
    <w:p>
      <w:pPr>
        <w:pStyle w:val="Heading1"/>
      </w:pPr>
      <w:r>
        <w:t xml:space="preserve">The Role and Evolution of the Judge in United Arab Emirates Dubai</w:t>
      </w:r>
    </w:p>
    <w:p>
      <w:pPr>
        <w:pStyle w:val="FirstParagraph"/>
      </w:pPr>
      <w:r>
        <w:rPr>
          <w:bCs/>
          <w:b/>
        </w:rPr>
        <w:t xml:space="preserve">Abstract:</w:t>
      </w:r>
    </w:p>
    <w:p>
      <w:pPr>
        <w:pStyle w:val="BodyText"/>
      </w:pPr>
      <w:r>
        <w:t xml:space="preserve">This research paper examines the multifaceted role of the judge within the judicial system of United Arab Emirates Dubai. It explores the historical context, legal frameworks, and contemporary challenges facing judicial officers in one of the world's most dynamic economic hubs. The document highlights how judges balance civil law traditions with international commercial needs.</w:t>
      </w:r>
    </w:p>
    <w:bookmarkStart w:id="20" w:name="introduction"/>
    <w:p>
      <w:pPr>
        <w:pStyle w:val="Heading2"/>
      </w:pPr>
      <w:r>
        <w:t xml:space="preserve">Introduction</w:t>
      </w:r>
    </w:p>
    <w:p>
      <w:pPr>
        <w:pStyle w:val="FirstParagraph"/>
      </w:pPr>
      <w:r>
        <w:t xml:space="preserve">In the rapidly evolving landscape of global finance and trade, United Arab Emirates Dubai has emerged as a premier destination for international business. At the heart of this stability and growth is the judiciary. The figure of the</w:t>
      </w:r>
      <w:r>
        <w:t xml:space="preserve"> </w:t>
      </w:r>
      <w:r>
        <w:rPr>
          <w:bCs/>
          <w:b/>
        </w:rPr>
        <w:t xml:space="preserve">Judge</w:t>
      </w:r>
      <w:r>
        <w:t xml:space="preserve"> </w:t>
      </w:r>
      <w:r>
        <w:t xml:space="preserve">in</w:t>
      </w:r>
      <w:r>
        <w:t xml:space="preserve"> </w:t>
      </w:r>
      <w:r>
        <w:rPr>
          <w:bCs/>
          <w:b/>
        </w:rPr>
        <w:t xml:space="preserve">Dubai</w:t>
      </w:r>
      <w:r>
        <w:t xml:space="preserve">, within the broader context of</w:t>
      </w:r>
      <w:r>
        <w:t xml:space="preserve"> </w:t>
      </w:r>
      <w:r>
        <w:rPr>
          <w:bCs/>
          <w:b/>
        </w:rPr>
        <w:t xml:space="preserve">United Arab Emirates Dubai</w:t>
      </w:r>
      <w:r>
        <w:t xml:space="preserve">, is not merely an administrator of law but a guardian of social order, economic confidence, and cultural heritage. This paper investigates the structural position, responsibilities, and modern challenges encountered by judges operating within this unique jurisdiction.</w:t>
      </w:r>
    </w:p>
    <w:bookmarkEnd w:id="20"/>
    <w:bookmarkStart w:id="21" w:name="the-legal-framework-a-dual-system"/>
    <w:p>
      <w:pPr>
        <w:pStyle w:val="Heading2"/>
      </w:pPr>
      <w:r>
        <w:t xml:space="preserve">The Legal Framework: A Dual System</w:t>
      </w:r>
    </w:p>
    <w:p>
      <w:pPr>
        <w:pStyle w:val="FirstParagraph"/>
      </w:pPr>
      <w:r>
        <w:t xml:space="preserve">To understand the role of the</w:t>
      </w:r>
      <w:r>
        <w:t xml:space="preserve"> </w:t>
      </w:r>
      <w:r>
        <w:rPr>
          <w:bCs/>
          <w:b/>
        </w:rPr>
        <w:t xml:space="preserve">Judge</w:t>
      </w:r>
      <w:r>
        <w:t xml:space="preserve">, one must first appreciate the complex legal architecture of</w:t>
      </w:r>
      <w:r>
        <w:t xml:space="preserve"> </w:t>
      </w:r>
      <w:r>
        <w:rPr>
          <w:bCs/>
          <w:b/>
        </w:rPr>
        <w:t xml:space="preserve">United Arab Emirates Dubai</w:t>
      </w:r>
      <w:r>
        <w:t xml:space="preserve">. The judicial system operates on a hybrid model. While it is rooted in Civil Law traditions derived from Egyptian law and Islamic Sharia principles, recent reforms have introduced common law elements to cater to international investors.</w:t>
      </w:r>
    </w:p>
    <w:p>
      <w:pPr>
        <w:pStyle w:val="BodyText"/>
      </w:pPr>
      <w:r>
        <w:t xml:space="preserve">In the general courts, which are part of the federal or local emirate structure depending on the specific court, judges interpret laws that are heavily influenced by statutory codes. However, in specialized jurisdictions such as the Dubai International Financial Centre (DIFC) Courts and the Dubai International Arbitration Centre (DIAC), judges often apply common law precedents. This duality requires a</w:t>
      </w:r>
      <w:r>
        <w:t xml:space="preserve"> </w:t>
      </w:r>
      <w:r>
        <w:rPr>
          <w:bCs/>
          <w:b/>
        </w:rPr>
        <w:t xml:space="preserve">Judge</w:t>
      </w:r>
      <w:r>
        <w:t xml:space="preserve"> </w:t>
      </w:r>
      <w:r>
        <w:t xml:space="preserve">in</w:t>
      </w:r>
      <w:r>
        <w:t xml:space="preserve"> </w:t>
      </w:r>
      <w:r>
        <w:rPr>
          <w:bCs/>
          <w:b/>
        </w:rPr>
        <w:t xml:space="preserve">Dubai</w:t>
      </w:r>
      <w:r>
        <w:t xml:space="preserve"> </w:t>
      </w:r>
      <w:r>
        <w:t xml:space="preserve">to possess a versatile legal mindset, capable of navigating between indigenous legal traditions and international commercial standards.</w:t>
      </w:r>
    </w:p>
    <w:bookmarkEnd w:id="21"/>
    <w:bookmarkStart w:id="22" w:name="Xc30e426a285401af3cc7523c96ebff61413c495"/>
    <w:p>
      <w:pPr>
        <w:pStyle w:val="Heading2"/>
      </w:pPr>
      <w:r>
        <w:t xml:space="preserve">The Qualifications and Appointment of Judges</w:t>
      </w:r>
    </w:p>
    <w:p>
      <w:pPr>
        <w:pStyle w:val="FirstParagraph"/>
      </w:pPr>
      <w:r>
        <w:t xml:space="preserve">The selection process for a</w:t>
      </w:r>
      <w:r>
        <w:t xml:space="preserve"> </w:t>
      </w:r>
      <w:r>
        <w:rPr>
          <w:bCs/>
          <w:b/>
        </w:rPr>
        <w:t xml:space="preserve">Judge</w:t>
      </w:r>
      <w:r>
        <w:t xml:space="preserve"> </w:t>
      </w:r>
      <w:r>
        <w:t xml:space="preserve">in</w:t>
      </w:r>
      <w:r>
        <w:t xml:space="preserve"> </w:t>
      </w:r>
      <w:r>
        <w:rPr>
          <w:bCs/>
          <w:b/>
        </w:rPr>
        <w:t xml:space="preserve">Dubai</w:t>
      </w:r>
      <w:r>
        <w:rPr>
          <w:iCs/>
          <w:i/>
        </w:rPr>
        <w:t xml:space="preserve">(United Arab Emirates Dubai)</w:t>
      </w:r>
      <w:r>
        <w:t xml:space="preserve"> </w:t>
      </w:r>
      <w:r>
        <w:t xml:space="preserve">is rigorous. Traditionally, judges were selected from among experienced legal practitioners, prosecutors, or academics who demonstrated exceptional knowledge of Islamic law and civil codes. The appointment is often made by decree from the Ruler of Dubai or the President of the UAE for federal courts.</w:t>
      </w:r>
    </w:p>
    <w:p>
      <w:pPr>
        <w:pStyle w:val="BodyText"/>
      </w:pPr>
      <w:r>
        <w:t xml:space="preserve">In recent years, to enhance transparency and international trust, there has been a push towards greater diversity in judicial appointments. This includes attracting foreign legal experts to serve in specialized courts like DIFC. Consequently, a modern</w:t>
      </w:r>
      <w:r>
        <w:t xml:space="preserve"> </w:t>
      </w:r>
      <w:r>
        <w:rPr>
          <w:bCs/>
          <w:b/>
        </w:rPr>
        <w:t xml:space="preserve">Judge</w:t>
      </w:r>
      <w:r>
        <w:rPr>
          <w:iCs/>
          <w:i/>
        </w:rPr>
        <w:t xml:space="preserve">(United Arab Emirates Dubai)</w:t>
      </w:r>
      <w:r>
        <w:t xml:space="preserve"> </w:t>
      </w:r>
      <w:r>
        <w:t xml:space="preserve">may have an international educational background or experience working in foreign jurisdictions, allowing them to bridge cultural and legal gaps for multinational corporations.</w:t>
      </w:r>
    </w:p>
    <w:bookmarkEnd w:id="22"/>
    <w:bookmarkStart w:id="23" w:name="X66858c65d0c1831c4ee9046d7207f807c172bec"/>
    <w:p>
      <w:pPr>
        <w:pStyle w:val="Heading2"/>
      </w:pPr>
      <w:r>
        <w:t xml:space="preserve">The Role of the Judge in Commercial Disputes</w:t>
      </w:r>
    </w:p>
    <w:p>
      <w:pPr>
        <w:pStyle w:val="FirstParagraph"/>
      </w:pPr>
      <w:r>
        <w:t xml:space="preserve">Dubai’s status as a global trade hub means that courts frequently handle complex commercial disputes involving real estate, construction, finance, and intellectual property. The</w:t>
      </w:r>
      <w:r>
        <w:t xml:space="preserve"> </w:t>
      </w:r>
      <w:r>
        <w:rPr>
          <w:bCs/>
          <w:b/>
        </w:rPr>
        <w:t xml:space="preserve">Judge</w:t>
      </w:r>
      <w:r>
        <w:rPr>
          <w:iCs/>
          <w:i/>
        </w:rPr>
        <w:t xml:space="preserve">(United Arab Emirates Dubai)</w:t>
      </w:r>
      <w:r>
        <w:t xml:space="preserve"> </w:t>
      </w:r>
      <w:r>
        <w:t xml:space="preserve">plays a critical role in ensuring contractual integrity. Unlike some jurisdictions where litigation can be protracted and opaque, there is a strong emphasis in Dubai on efficiency.</w:t>
      </w:r>
    </w:p>
    <w:p>
      <w:pPr>
        <w:pStyle w:val="BodyText"/>
      </w:pPr>
      <w:r>
        <w:t xml:space="preserve">Judges are empowered to manage case flows actively, encouraging alternative dispute resolution (ADR) mechanisms before reaching full trial. This proactive approach underscores the judicial philosophy that justice should not only be done but also seen to be done swiftly and fairly. For international investors, the predictability of a</w:t>
      </w:r>
      <w:r>
        <w:t xml:space="preserve"> </w:t>
      </w:r>
      <w:r>
        <w:rPr>
          <w:bCs/>
          <w:b/>
        </w:rPr>
        <w:t xml:space="preserve">Judge’s</w:t>
      </w:r>
      <w:r>
        <w:t xml:space="preserve"> </w:t>
      </w:r>
      <w:r>
        <w:t xml:space="preserve">decision-making process is paramount to economic stability.</w:t>
      </w:r>
    </w:p>
    <w:bookmarkEnd w:id="23"/>
    <w:bookmarkStart w:id="24" w:name="sharia-law-and-ethical-considerations"/>
    <w:p>
      <w:pPr>
        <w:pStyle w:val="Heading2"/>
      </w:pPr>
      <w:r>
        <w:t xml:space="preserve">Sharia Law and Ethical Considerations</w:t>
      </w:r>
    </w:p>
    <w:p>
      <w:pPr>
        <w:pStyle w:val="FirstParagraph"/>
      </w:pPr>
      <w:r>
        <w:t xml:space="preserve">A defining characteristic of the</w:t>
      </w:r>
      <w:r>
        <w:t xml:space="preserve"> </w:t>
      </w:r>
      <w:r>
        <w:rPr>
          <w:bCs/>
          <w:b/>
        </w:rPr>
        <w:t xml:space="preserve">Judge</w:t>
      </w:r>
      <w:r>
        <w:rPr>
          <w:iCs/>
          <w:i/>
        </w:rPr>
        <w:t xml:space="preserve">(United Arab Emirates Dubai)</w:t>
      </w:r>
      <w:r>
        <w:t xml:space="preserve">'s role is the intersection of positive law with Sharia principles. In matters concerning family law, inheritance, and certain criminal offenses, Islamic jurisprudence is directly applicable. Therefore, a judge must have a deep understanding of Fiqh (Islamic jurisprudence) to ensure that rulings align with religious values.</w:t>
      </w:r>
    </w:p>
    <w:p>
      <w:pPr>
        <w:pStyle w:val="BodyText"/>
      </w:pPr>
      <w:r>
        <w:t xml:space="preserve">This creates a unique ethical landscape where the</w:t>
      </w:r>
      <w:r>
        <w:t xml:space="preserve"> </w:t>
      </w:r>
      <w:r>
        <w:rPr>
          <w:bCs/>
          <w:b/>
        </w:rPr>
        <w:t xml:space="preserve">Judge</w:t>
      </w:r>
      <w:r>
        <w:t xml:space="preserve"> </w:t>
      </w:r>
      <w:r>
        <w:t xml:space="preserve">must balance statutory regulations with moral and religious imperatives. For instance, in contract law, while freedom of contract is respected, agreements that violate Sharia prohibitions (such as those involving interest-based riba in traditional courts) may be deemed unenforceable. This dual allegiance requires judges to exercise significant discretion and wisdom.</w:t>
      </w:r>
    </w:p>
    <w:bookmarkEnd w:id="24"/>
    <w:bookmarkStart w:id="25" w:name="challenges-facing-the-judiciary"/>
    <w:p>
      <w:pPr>
        <w:pStyle w:val="Heading2"/>
      </w:pPr>
      <w:r>
        <w:t xml:space="preserve">Challenges Facing the Judiciary</w:t>
      </w:r>
    </w:p>
    <w:p>
      <w:pPr>
        <w:pStyle w:val="FirstParagraph"/>
      </w:pPr>
      <w:r>
        <w:t xml:space="preserve">The judiciary in</w:t>
      </w:r>
      <w:r>
        <w:t xml:space="preserve"> </w:t>
      </w:r>
      <w:r>
        <w:rPr>
          <w:bCs/>
          <w:b/>
        </w:rPr>
        <w:t xml:space="preserve">Dubai</w:t>
      </w:r>
      <w:r>
        <w:rPr>
          <w:iCs/>
          <w:i/>
        </w:rPr>
        <w:t xml:space="preserve">(United Arab Emirates Dubai)</w:t>
      </w:r>
      <w:r>
        <w:t xml:space="preserve"> </w:t>
      </w:r>
      <w:r>
        <w:t xml:space="preserve">faces contemporary challenges, primarily driven by technological advancement and globalization. Cybercrime, digital assets, and cross-border intellectual property disputes require judges to stay abreast of rapidly changing legal landscapes.</w:t>
      </w:r>
    </w:p>
    <w:p>
      <w:pPr>
        <w:pStyle w:val="BodyText"/>
      </w:pPr>
      <w:r>
        <w:t xml:space="preserve">Furthermore, there is an ongoing challenge regarding language. While Arabic is the official language of the courts in Dubai English has become increasingly prevalent due to the expatriate population. Judges must often work with certified translators, which can introduce nuances and potential misunderstandings into legal proceedings. Ensuring precise interpretation remains a critical task for every</w:t>
      </w:r>
      <w:r>
        <w:t xml:space="preserve"> </w:t>
      </w:r>
      <w:r>
        <w:rPr>
          <w:bCs/>
          <w:b/>
        </w:rPr>
        <w:t xml:space="preserve">Judge</w:t>
      </w:r>
      <w:r>
        <w:t xml:space="preserve">.</w:t>
      </w:r>
    </w:p>
    <w:bookmarkEnd w:id="25"/>
    <w:bookmarkStart w:id="26" w:name="reforms-and-modernization"/>
    <w:p>
      <w:pPr>
        <w:pStyle w:val="Heading2"/>
      </w:pPr>
      <w:r>
        <w:t xml:space="preserve">Reforms and Modernization</w:t>
      </w:r>
    </w:p>
    <w:p>
      <w:pPr>
        <w:pStyle w:val="FirstParagraph"/>
      </w:pPr>
      <w:r>
        <w:t xml:space="preserve">The leadership of</w:t>
      </w:r>
      <w:r>
        <w:t xml:space="preserve"> </w:t>
      </w:r>
      <w:r>
        <w:rPr>
          <w:bCs/>
          <w:b/>
        </w:rPr>
        <w:t xml:space="preserve">Dubai</w:t>
      </w:r>
      <w:r>
        <w:rPr>
          <w:iCs/>
          <w:i/>
        </w:rPr>
        <w:t xml:space="preserve">(United Arab Emirates Dubai)</w:t>
      </w:r>
      <w:r>
        <w:t xml:space="preserve"> </w:t>
      </w:r>
      <w:r>
        <w:t xml:space="preserve">has consistently supported judicial reforms aimed at increasing independence, transparency, and efficiency. Initiatives such as the establishment of specialized courts for financial disputes and the implementation of electronic filing systems reflect this commitment.</w:t>
      </w:r>
    </w:p>
    <w:p>
      <w:pPr>
        <w:pStyle w:val="BodyText"/>
      </w:pPr>
      <w:r>
        <w:t xml:space="preserve">Judges are now expected to embrace technology not just as an administrative tool but as a means to enhance justice delivery. Virtual hearings during global crises have demonstrated the adaptability of the judicial system in</w:t>
      </w:r>
      <w:r>
        <w:t xml:space="preserve"> </w:t>
      </w:r>
      <w:r>
        <w:rPr>
          <w:bCs/>
          <w:b/>
        </w:rPr>
        <w:t xml:space="preserve">Dubai</w:t>
      </w:r>
      <w:r>
        <w:t xml:space="preserve">. These reforms aim to position the</w:t>
      </w:r>
      <w:r>
        <w:t xml:space="preserve"> </w:t>
      </w:r>
      <w:r>
        <w:rPr>
          <w:bCs/>
          <w:b/>
        </w:rPr>
        <w:t xml:space="preserve">Judge</w:t>
      </w:r>
      <w:r>
        <w:rPr>
          <w:iCs/>
          <w:i/>
        </w:rPr>
        <w:t xml:space="preserve">(United Arab Emirates Dubai)</w:t>
      </w:r>
      <w:r>
        <w:t xml:space="preserve"> </w:t>
      </w:r>
      <w:r>
        <w:t xml:space="preserve">not just as a local arbiter but as a global standard-bearer for judicial excellence.</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Judge</w:t>
      </w:r>
      <w:r>
        <w:rPr>
          <w:iCs/>
          <w:i/>
        </w:rPr>
        <w:t xml:space="preserve">(United Arab Emirates Dubai)</w:t>
      </w:r>
      <w:r>
        <w:t xml:space="preserve"> </w:t>
      </w:r>
      <w:r>
        <w:t xml:space="preserve">is pivotal to the emirate’s success. By harmonizing traditional Islamic legal values with modern civil and common law practices, judges in</w:t>
      </w:r>
      <w:r>
        <w:t xml:space="preserve"> </w:t>
      </w:r>
      <w:r>
        <w:rPr>
          <w:bCs/>
          <w:b/>
        </w:rPr>
        <w:t xml:space="preserve">Dubai</w:t>
      </w:r>
      <w:r>
        <w:t xml:space="preserve"> </w:t>
      </w:r>
      <w:r>
        <w:t xml:space="preserve">provide a stable environment for both local citizens and international businesses. As the region continues to evolve, the judiciary must remain agile, ensuring that justice remains accessible, fair, and aligned with the visionary goals of</w:t>
      </w:r>
      <w:r>
        <w:t xml:space="preserve"> </w:t>
      </w:r>
      <w:r>
        <w:rPr>
          <w:bCs/>
          <w:b/>
        </w:rPr>
        <w:t xml:space="preserve">United Arab Emirates Dubai</w:t>
      </w:r>
      <w:r>
        <w:t xml:space="preserve">.</w:t>
      </w:r>
    </w:p>
    <w:p>
      <w:pPr>
        <w:pStyle w:val="BodyText"/>
      </w:pPr>
      <w:r>
        <w:t xml:space="preserve">The future of judicial practice in this region will likely see increased reliance on technical expertise for complex cases and further integration of international legal standards. Ultimately, the integrity and competence of each individual</w:t>
      </w:r>
      <w:r>
        <w:t xml:space="preserve"> </w:t>
      </w:r>
      <w:r>
        <w:rPr>
          <w:bCs/>
          <w:b/>
        </w:rPr>
        <w:t xml:space="preserve">Judge</w:t>
      </w:r>
      <w:r>
        <w:t xml:space="preserve"> </w:t>
      </w:r>
      <w:r>
        <w:t xml:space="preserve">serve as the bedrock upon which the reputation of</w:t>
      </w:r>
    </w:p>
    <w:p>
      <w:pPr>
        <w:pStyle w:val="BodyText"/>
      </w:pPr>
      <w:r>
        <w:t xml:space="preserve">Dubai</w:t>
      </w:r>
      <w:r>
        <w:rPr>
          <w:iCs/>
          <w:i/>
        </w:rPr>
        <w:t xml:space="preserve">(United Arab Emirates Dubai)</w:t>
      </w:r>
      <w:r>
        <w:t xml:space="preserve"> </w:t>
      </w:r>
      <w:r>
        <w:t xml:space="preserve">as a global business hub is maintained.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United Arab Emirates Dubai</dc:title>
  <dc:creator/>
  <dc:language>en</dc:language>
  <cp:keywords/>
  <dcterms:created xsi:type="dcterms:W3CDTF">2026-07-29T21:10:15Z</dcterms:created>
  <dcterms:modified xsi:type="dcterms:W3CDTF">2026-07-29T21:10:15Z</dcterms:modified>
</cp:coreProperties>
</file>

<file path=docProps/custom.xml><?xml version="1.0" encoding="utf-8"?>
<Properties xmlns="http://schemas.openxmlformats.org/officeDocument/2006/custom-properties" xmlns:vt="http://schemas.openxmlformats.org/officeDocument/2006/docPropsVTypes"/>
</file>