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p>
    <w:p>
      <w:pPr>
        <w:pStyle w:val="FirstParagraph"/>
      </w:pPr>
      <w:r>
        <w:t xml:space="preserve">```html</w:t>
      </w:r>
    </w:p>
    <w:bookmarkStart w:id="23" w:name="X28a741c02bb30d9fc2f18ea27f55fa89b010f9b"/>
    <w:p>
      <w:pPr>
        <w:pStyle w:val="Heading1"/>
      </w:pPr>
      <w:r>
        <w:t xml:space="preserve">The Role of Laboratory Technicians in Germany Frankfurt</w:t>
      </w:r>
    </w:p>
    <w:p>
      <w:pPr>
        <w:pStyle w:val="FirstParagraph"/>
      </w:pPr>
      <w:r>
        <w:br/>
      </w:r>
    </w:p>
    <w:p>
      <w:pPr>
        <w:pStyle w:val="BodyText"/>
      </w:pPr>
      <w:r>
        <w:rPr>
          <w:bCs/>
          <w:b/>
        </w:rPr>
        <w:t xml:space="preserve">A Comprehensive Research Paper on Technical Expertise, Regulatory Compliance, and Industrial Integration in One of Europe’s Leading Financial and Scientific Hubs</w:t>
      </w:r>
    </w:p>
    <w:p>
      <w:pPr>
        <w:pStyle w:val="BodyText"/>
      </w:pPr>
      <w:r>
        <w:br/>
      </w:r>
    </w:p>
    <w:p>
      <w:pPr>
        <w:pStyle w:val="BodyText"/>
      </w:pPr>
      <w:r>
        <w:rPr>
          <w:iCs/>
          <w:i/>
        </w:rPr>
        <w:t xml:space="preserve">Submitted for Review by [Your Name/Institution]</w:t>
      </w:r>
    </w:p>
    <w:bookmarkStart w:id="20" w:name="abstract"/>
    <w:p>
      <w:pPr>
        <w:pStyle w:val="Heading2"/>
      </w:pPr>
      <w:r>
        <w:t xml:space="preserve">Abstract</w:t>
      </w:r>
    </w:p>
    <w:p>
      <w:pPr>
        <w:pStyle w:val="FirstParagraph"/>
      </w:pPr>
      <w:r>
        <w:br/>
      </w:r>
      <w:r>
        <w:t xml:space="preserve">This research paper examines the critical role of</w:t>
      </w:r>
      <w:r>
        <w:t xml:space="preserve"> </w:t>
      </w:r>
      <w:r>
        <w:rPr>
          <w:bCs/>
          <w:b/>
        </w:rPr>
        <w:t xml:space="preserve">Laboratory Technicians</w:t>
      </w:r>
      <w:r>
        <w:t xml:space="preserve">, specifically within the context of</w:t>
      </w:r>
      <w:r>
        <w:t xml:space="preserve"> </w:t>
      </w:r>
      <w:r>
        <w:rPr>
          <w:bCs/>
          <w:b/>
        </w:rPr>
        <w:t xml:space="preserve">Germany Frankfurt</w:t>
      </w:r>
      <w:r>
        <w:t xml:space="preserve">. As a global financial hub and a burgeoning center for biotechnology and pharmaceuticals, Frankfurt demands rigorous scientific standards. This document explores the educational requirements, regulatory frameworks (such as DIN EN ISO 17025), and specific industrial applications that define the profession in this region. By analyzing the intersection of technical skill and legal compliance, we highlight why</w:t>
      </w:r>
      <w:r>
        <w:t xml:space="preserve"> </w:t>
      </w:r>
      <w:r>
        <w:rPr>
          <w:bCs/>
          <w:b/>
        </w:rPr>
        <w:t xml:space="preserve">Laboratory Technicians</w:t>
      </w:r>
      <w:r>
        <w:t xml:space="preserve"> </w:t>
      </w:r>
      <w:r>
        <w:t xml:space="preserve">are indispensable to</w:t>
      </w:r>
      <w:r>
        <w:t xml:space="preserve"> </w:t>
      </w:r>
      <w:r>
        <w:rPr>
          <w:bCs/>
          <w:b/>
        </w:rPr>
        <w:t xml:space="preserve">Germany Frankfurt’s</w:t>
      </w:r>
      <w:r>
        <w:t xml:space="preserve"> </w:t>
      </w:r>
      <w:r>
        <w:t xml:space="preserve">economic and scientific infrastructure.</w:t>
      </w:r>
      <w:r>
        <w:br/>
      </w:r>
    </w:p>
    <w:bookmarkEnd w:id="20"/>
    <w:bookmarkStart w:id="21" w:name="X752fd2803ab1c9cb706e69f81118492b60e82ae"/>
    <w:p>
      <w:pPr>
        <w:pStyle w:val="Heading2"/>
      </w:pPr>
      <w:r>
        <w:t xml:space="preserve">1. Introduction: The Scientific Landscape of Germany Frankfurt</w:t>
      </w:r>
    </w:p>
    <w:p>
      <w:pPr>
        <w:pStyle w:val="FirstParagraph"/>
      </w:pPr>
      <w:r>
        <w:br/>
      </w:r>
      <w:r>
        <w:t xml:space="preserve">Frankfurt am Main, often referred to as "Mainhattan" for its skyline, is widely recognized as the financial capital of Europe. However, beneath its banking sector lies a robust ecosystem of life sciences, chemical manufacturing, and clinical diagnostics. In</w:t>
      </w:r>
      <w:r>
        <w:t xml:space="preserve"> </w:t>
      </w:r>
      <w:r>
        <w:rPr>
          <w:bCs/>
          <w:b/>
        </w:rPr>
        <w:t xml:space="preserve">Germany Frankfurt</w:t>
      </w:r>
      <w:r>
        <w:t xml:space="preserve">, the presence of major pharmaceutical companies (such as Merck KGaA) and numerous university hospitals creates an unprecedented demand for high-quality scientific personnel.</w:t>
      </w:r>
      <w:r>
        <w:br/>
      </w:r>
      <w:r>
        <w:t xml:space="preserve">Within this ecosystem, the</w:t>
      </w:r>
      <w:r>
        <w:t xml:space="preserve"> </w:t>
      </w:r>
      <w:r>
        <w:rPr>
          <w:bCs/>
          <w:b/>
        </w:rPr>
        <w:t xml:space="preserve">Laboratory Technician</w:t>
      </w:r>
      <w:r>
        <w:t xml:space="preserve"> </w:t>
      </w:r>
      <w:r>
        <w:t xml:space="preserve">serves as the operational backbone. Unlike purely theoretical roles, technicians are tasked with executing precise analytical procedures, maintaining complex instrumentation, and ensuring data integrity. This paper argues that in</w:t>
      </w:r>
      <w:r>
        <w:t xml:space="preserve"> </w:t>
      </w:r>
      <w:r>
        <w:rPr>
          <w:bCs/>
          <w:b/>
        </w:rPr>
        <w:t xml:space="preserve">Germany Frankfurt</w:t>
      </w:r>
      <w:r>
        <w:t xml:space="preserve">, the role of a technician is not merely supportive but is central to regulatory compliance and industrial innovation.</w:t>
      </w:r>
      <w:r>
        <w:br/>
      </w:r>
    </w:p>
    <w:bookmarkEnd w:id="21"/>
    <w:bookmarkStart w:id="22" w:name="X34f9c160d1fbfb7750cf0303977d6bdeaefffe5"/>
    <w:p>
      <w:pPr>
        <w:pStyle w:val="Heading2"/>
      </w:pPr>
      <w:r>
        <w:t xml:space="preserve">2. Educational Pathways and Qualifications for Laboratory Technicians in Germany</w:t>
      </w:r>
    </w:p>
    <w:p>
      <w:pPr>
        <w:pStyle w:val="FirstParagraph"/>
      </w:pPr>
      <w:r>
        <w:br/>
      </w:r>
      <w:r>
        <w:t xml:space="preserve">In</w:t>
      </w:r>
      <w:r>
        <w:t xml:space="preserve"> </w:t>
      </w:r>
      <w:r>
        <w:rPr>
          <w:bCs/>
          <w:b/>
        </w:rPr>
        <w:t xml:space="preserve">Germany Frankfurt</w:t>
      </w:r>
      <w:r>
        <w:t xml:space="preserve">, the pathway to becoming a qualified</w:t>
      </w:r>
      <w:r>
        <w:t xml:space="preserve"> </w:t>
      </w:r>
      <w:r>
        <w:rPr>
          <w:bCs/>
          <w:b/>
        </w:rPr>
        <w:t xml:space="preserve">Laboratory Technician</w:t>
      </w:r>
      <w:r>
        <w:t xml:space="preserve"> </w:t>
      </w:r>
      <w:r>
        <w:t xml:space="preserve">(known in German as *Laborant*) is highly structured. The dual education system (*Duales Ausbildungssystem*) is the most common route. This model combines theoretical learning at a vocational school (*Berufsschule*) with practical training in an enterprise.</w:t>
      </w:r>
      <w:r>
        <w:br/>
      </w:r>
      <w:r>
        <w:t xml:space="preserve">Typically, this training lasts three years and covers:</w:t>
      </w:r>
      <w:r>
        <w:br/>
      </w:r>
    </w:p>
    <w:p>
      <w:pPr>
        <w:pStyle w:val="BodyText"/>
      </w:pPr>
      <w:r>
        <w:rPr>
          <w:bCs/>
          <w:b/>
        </w:rPr>
        <w:t xml:space="preserve">Chemistry and Biology:</w:t>
      </w:r>
      <w:r>
        <w:t xml:space="preserve"> </w:t>
      </w:r>
      <w:r>
        <w:t xml:space="preserve">Deep understanding of organic and inorganic reactions.</w:t>
      </w:r>
    </w:p>
    <w:p>
      <w:pPr>
        <w:pStyle w:val="BodyText"/>
      </w:pPr>
      <w:r>
        <w:rPr>
          <w:bCs/>
          <w:b/>
        </w:rPr>
        <w:t xml:space="preserve">Analytical Methods:</w:t>
      </w:r>
      <w:r>
        <w:t xml:space="preserve"> </w:t>
      </w:r>
      <w:r>
        <w:t xml:space="preserve">Mastery of chromatography (HPLC, GC), spectrometry, and titration.</w:t>
      </w:r>
    </w:p>
    <w:p>
      <w:pPr>
        <w:pStyle w:val="BodyText"/>
      </w:pPr>
      <w:r>
        <w:rPr>
          <w:bCs/>
          <w:b/>
        </w:rPr>
        <w:t xml:space="preserve">Data Management:</w:t>
      </w:r>
    </w:p>
    <w:p>
      <w:pPr>
        <w:pStyle w:val="BodyText"/>
      </w:pPr>
      <w:r>
        <w:t xml:space="preserve">Websites</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Laboratory Technicians in Germany: A Focus on Frankfurt</dc:title>
  <dc:creator/>
  <dc:language>en</dc:language>
  <cp:keywords/>
  <dcterms:created xsi:type="dcterms:W3CDTF">2026-07-29T13:43:48Z</dcterms:created>
  <dcterms:modified xsi:type="dcterms:W3CDTF">2026-07-29T13:43:48Z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