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Berlin,</w:t>
      </w:r>
      <w:r>
        <w:t xml:space="preserve"> </w:t>
      </w:r>
      <w:r>
        <w:t xml:space="preserve">Germany</w:t>
      </w:r>
    </w:p>
    <w:bookmarkStart w:id="27" w:name="X9de4b13b87229d4090fc0ee2d345031315ae33a"/>
    <w:p>
      <w:pPr>
        <w:pStyle w:val="Heading1"/>
      </w:pPr>
      <w:r>
        <w:t xml:space="preserve">The Role and Function of the Lawyer in Berlin, Germany</w:t>
      </w:r>
    </w:p>
    <w:p>
      <w:pPr>
        <w:pStyle w:val="FirstParagraph"/>
      </w:pPr>
      <w:r>
        <w:rPr>
          <w:iCs/>
          <w:i/>
          <w:bCs/>
          <w:b/>
        </w:rPr>
        <w:t xml:space="preserve">Abstract:</w:t>
      </w:r>
      <w:r>
        <w:br/>
      </w:r>
      <w:r>
        <w:t xml:space="preserve">This research paper examines the legal profession within the specific context of Berlin, Germany. It analyzes the regulatory framework governing lawyers in this capital city, their operational methodologies within a mixed civil law jurisdiction, and the unique socio-political dynamics that influence legal practice in Berlin. The study highlights how traditional German legal principles interact with international demands in a global metropolis.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Lawyer</w:t>
      </w:r>
      <w:r>
        <w:t xml:space="preserve">, or "Rechtsanwalt" in German, is central to the administration of justice and the protection of civil liberties. However, when examining this profession through the lens of</w:t>
      </w:r>
      <w:r>
        <w:t xml:space="preserve"> </w:t>
      </w:r>
      <w:r>
        <w:rPr>
          <w:bCs/>
          <w:b/>
        </w:rPr>
        <w:t xml:space="preserve">Germany Berlin</w:t>
      </w:r>
      <w:r>
        <w:t xml:space="preserve">, one encounters a complex intersection of federal statutory law and local judicial customs. Germany operates under a civil law system, heavily reliant on codified statutes rather than case precedent alone. Consequently, the role of the lawyer in this jurisdiction differs significantly from their counterparts in common law systems like the United States or the United Kingdom.</w:t>
      </w:r>
    </w:p>
    <w:p>
      <w:pPr>
        <w:pStyle w:val="BodyText"/>
      </w:pPr>
      <w:r>
        <w:t xml:space="preserve">Berlin, as both a federal state (</w:t>
      </w:r>
      <w:r>
        <w:rPr>
          <w:iCs/>
          <w:i/>
        </w:rPr>
        <w:t xml:space="preserve">Bundesland</w:t>
      </w:r>
      <w:r>
        <w:t xml:space="preserve">) and the capital city of Germany, presents unique challenges. It is a hub for international business, diplomacy, and political lobbying. Therefore, legal practitioners in Berlin must navigate not only the intricate German Civil Code (</w:t>
      </w:r>
      <w:r>
        <w:rPr>
          <w:iCs/>
          <w:i/>
        </w:rPr>
        <w:t xml:space="preserve">Bürgerliches Gesetzbuch</w:t>
      </w:r>
      <w:r>
        <w:t xml:space="preserve"> </w:t>
      </w:r>
      <w:r>
        <w:t xml:space="preserve">or BGB) but also European Union regulations and international commercial standards.</w:t>
      </w:r>
    </w:p>
    <w:bookmarkEnd w:id="20"/>
    <w:bookmarkStart w:id="21" w:name="X0572e3f09fa81ecaefc09353e794c46e425a3d0"/>
    <w:p>
      <w:pPr>
        <w:pStyle w:val="Heading2"/>
      </w:pPr>
      <w:r>
        <w:t xml:space="preserve">2. Regulatory Framework and Professional Ethics</w:t>
      </w:r>
    </w:p>
    <w:p>
      <w:pPr>
        <w:pStyle w:val="FirstParagraph"/>
      </w:pPr>
      <w:r>
        <w:t xml:space="preserve">In</w:t>
      </w:r>
      <w:r>
        <w:t xml:space="preserve"> </w:t>
      </w:r>
      <w:r>
        <w:rPr>
          <w:bCs/>
          <w:b/>
        </w:rPr>
        <w:t xml:space="preserve">Germany Berlin</w:t>
      </w:r>
      <w:r>
        <w:t xml:space="preserve">, the admission to the legal profession is strictly regulated by federal law, specifically the Federal Lawyers' Act (</w:t>
      </w:r>
      <w:r>
        <w:rPr>
          <w:iCs/>
          <w:i/>
        </w:rPr>
        <w:t xml:space="preserve">Bundesanwaltsordnung</w:t>
      </w:r>
      <w:r>
        <w:t xml:space="preserve">) and the Code of Professional Conduct for Lawyers (</w:t>
      </w:r>
      <w:r>
        <w:rPr>
          <w:iCs/>
          <w:i/>
        </w:rPr>
        <w:t xml:space="preserve">Berufsordnung der Rechtsanwälte</w:t>
      </w:r>
      <w:r>
        <w:t xml:space="preserve">). To practice as a qualified</w:t>
      </w:r>
      <w:r>
        <w:t xml:space="preserve"> </w:t>
      </w:r>
      <w:r>
        <w:rPr>
          <w:bCs/>
          <w:b/>
        </w:rPr>
        <w:t xml:space="preserve">Lawyer</w:t>
      </w:r>
      <w:r>
        <w:t xml:space="preserve"> </w:t>
      </w:r>
      <w:r>
        <w:t xml:space="preserve">in Berlin, an individual must complete a rigorous dual-stage examination process. This includes university legal studies followed by practical training in various legal settings, culminating in the Second State Examination.</w:t>
      </w:r>
    </w:p>
    <w:p>
      <w:pPr>
        <w:pStyle w:val="BodyText"/>
      </w:pPr>
      <w:r>
        <w:t xml:space="preserve">A defining characteristic of the profession is the concept of "Rechtsanwaltskammer" (Bar Association). In Berlin, members are part of the Chamber of Lawyers for Berlin. Membership is mandatory and serves to uphold professional ethics, manage continuing education, and discipline members who violate professional standards. The ethical obligations placed on a</w:t>
      </w:r>
      <w:r>
        <w:t xml:space="preserve"> </w:t>
      </w:r>
      <w:r>
        <w:rPr>
          <w:bCs/>
          <w:b/>
        </w:rPr>
        <w:t xml:space="preserve">Lawyer</w:t>
      </w:r>
      <w:r>
        <w:t xml:space="preserve"> </w:t>
      </w:r>
      <w:r>
        <w:t xml:space="preserve">in</w:t>
      </w:r>
      <w:r>
        <w:t xml:space="preserve"> </w:t>
      </w:r>
      <w:r>
        <w:rPr>
          <w:bCs/>
          <w:b/>
        </w:rPr>
        <w:t xml:space="preserve">Germany Berlin</w:t>
      </w:r>
      <w:r>
        <w:t xml:space="preserve"> </w:t>
      </w:r>
      <w:r>
        <w:t xml:space="preserve">include strict confidentiality (Anwaltsgeheimnis), independence from external pressure, and loyalty to the client while maintaining respect for the court.</w:t>
      </w:r>
    </w:p>
    <w:bookmarkEnd w:id="21"/>
    <w:bookmarkStart w:id="22" w:name="access-to-justice-and-fee-structures"/>
    <w:p>
      <w:pPr>
        <w:pStyle w:val="Heading2"/>
      </w:pPr>
      <w:r>
        <w:t xml:space="preserve">3. Access to Justice and Fee Structures</w:t>
      </w:r>
    </w:p>
    <w:p>
      <w:pPr>
        <w:pStyle w:val="FirstParagraph"/>
      </w:pPr>
      <w:r>
        <w:t xml:space="preserve">The financial accessibility of legal services is a critical topic in</w:t>
      </w:r>
      <w:r>
        <w:t xml:space="preserve"> </w:t>
      </w:r>
      <w:r>
        <w:rPr>
          <w:bCs/>
          <w:b/>
        </w:rPr>
        <w:t xml:space="preserve">Germany Berlin</w:t>
      </w:r>
      <w:r>
        <w:t xml:space="preserve">. Unlike some jurisdictions that rely heavily on contingency fees (</w:t>
      </w:r>
      <w:r>
        <w:rPr>
          <w:iCs/>
          <w:i/>
        </w:rPr>
        <w:t xml:space="preserve">No Win, No Fee</w:t>
      </w:r>
      <w:r>
        <w:t xml:space="preserve">)—which are largely prohibited in Germany for civil matters—the fee structure for lawyers is governed by the Federal Lawyers' Remuneration Act (</w:t>
      </w:r>
      <w:r>
        <w:rPr>
          <w:iCs/>
          <w:i/>
        </w:rPr>
        <w:t xml:space="preserve">Rechtsanwaltsvergütungsgesetz</w:t>
      </w:r>
      <w:r>
        <w:t xml:space="preserve"> </w:t>
      </w:r>
      <w:r>
        <w:t xml:space="preserve">or RVG).</w:t>
      </w:r>
    </w:p>
    <w:p>
      <w:pPr>
        <w:pStyle w:val="BodyText"/>
      </w:pPr>
      <w:r>
        <w:t xml:space="preserve">The RVG establishes a standardized fee schedule based on the value of the matter in dispute (</w:t>
      </w:r>
      <w:r>
        <w:rPr>
          <w:iCs/>
          <w:i/>
        </w:rPr>
        <w:t xml:space="preserve">Streitwert</w:t>
      </w:r>
      <w:r>
        <w:t xml:space="preserve">). This ensures transparency but often results in high costs for complex commercial litigation. To mitigate this,</w:t>
      </w:r>
      <w:r>
        <w:t xml:space="preserve"> </w:t>
      </w:r>
      <w:r>
        <w:rPr>
          <w:bCs/>
          <w:b/>
        </w:rPr>
        <w:t xml:space="preserve">Germany Berlin</w:t>
      </w:r>
      <w:r>
        <w:t xml:space="preserve"> </w:t>
      </w:r>
      <w:r>
        <w:t xml:space="preserve">offers extensive legal aid (</w:t>
      </w:r>
      <w:r>
        <w:rPr>
          <w:iCs/>
          <w:i/>
        </w:rPr>
        <w:t xml:space="preserve">Pflichtverteidigung</w:t>
      </w:r>
      <w:r>
        <w:t xml:space="preserve"> </w:t>
      </w:r>
      <w:r>
        <w:t xml:space="preserve">and</w:t>
      </w:r>
      <w:r>
        <w:t xml:space="preserve"> </w:t>
      </w:r>
      <w:r>
        <w:rPr>
          <w:iCs/>
          <w:i/>
        </w:rPr>
        <w:t xml:space="preserve">Beratungshilfe</w:t>
      </w:r>
      <w:r>
        <w:t xml:space="preserve">) for individuals who cannot afford private counsel. Public defenders are appointed by the state in criminal cases where the defendant faces potential imprisonment and lacks funds. This system underscores the German commitment to ensuring that every citizen has access to legal representation, a fundamental tenet of a democratic society.</w:t>
      </w:r>
    </w:p>
    <w:bookmarkEnd w:id="22"/>
    <w:bookmarkStart w:id="23" w:name="X18dc638902ced0889d5388d8d15cd3e108b3e13"/>
    <w:p>
      <w:pPr>
        <w:pStyle w:val="Heading2"/>
      </w:pPr>
      <w:r>
        <w:t xml:space="preserve">4. Specialization in an International Metropolis</w:t>
      </w:r>
    </w:p>
    <w:p>
      <w:pPr>
        <w:pStyle w:val="FirstParagraph"/>
      </w:pPr>
      <w:r>
        <w:t xml:space="preserve">Berlin is not merely a local jurisdiction; it is an international gateway. As such, the profile of the</w:t>
      </w:r>
      <w:r>
        <w:t xml:space="preserve"> </w:t>
      </w:r>
      <w:r>
        <w:rPr>
          <w:bCs/>
          <w:b/>
        </w:rPr>
        <w:t xml:space="preserve">Lawyer</w:t>
      </w:r>
      <w:r>
        <w:t xml:space="preserve"> </w:t>
      </w:r>
      <w:r>
        <w:t xml:space="preserve">operating in this city has evolved to meet global demands. There is a burgeoning sector of attorneys specializing in European Union law, given Berlin's proximity to EU institutions and its status as a capital city where many international NGOs have their headquarters.</w:t>
      </w:r>
    </w:p>
    <w:p>
      <w:pPr>
        <w:pStyle w:val="BodyText"/>
      </w:pPr>
      <w:r>
        <w:t xml:space="preserve">Criminal law practitioners in Berlin frequently handle cases with transnational elements, including cybercrime, economic fraud involving cross-border entities, and immigration-related offenses. Furthermore, real estate law is a dominant field in</w:t>
      </w:r>
      <w:r>
        <w:t xml:space="preserve"> </w:t>
      </w:r>
      <w:r>
        <w:rPr>
          <w:bCs/>
          <w:b/>
        </w:rPr>
        <w:t xml:space="preserve">Germany Berlin</w:t>
      </w:r>
      <w:r>
        <w:t xml:space="preserve">, driven by the city's booming housing market and ongoing debates regarding rent control (</w:t>
      </w:r>
      <w:r>
        <w:rPr>
          <w:iCs/>
          <w:i/>
        </w:rPr>
        <w:t xml:space="preserve">Mietpreisbremse</w:t>
      </w:r>
      <w:r>
        <w:t xml:space="preserve">). Lawyers in this sector must be adept at interpreting complex tenancy laws that are frequently amended due to political pressure.</w:t>
      </w:r>
    </w:p>
    <w:bookmarkEnd w:id="23"/>
    <w:bookmarkStart w:id="24" w:name="X43277ec034c23a3bc5eb6e6f0396544bbe08c7e"/>
    <w:p>
      <w:pPr>
        <w:pStyle w:val="Heading2"/>
      </w:pPr>
      <w:r>
        <w:t xml:space="preserve">5. The Impact of Digitalization on Legal Practice</w:t>
      </w:r>
    </w:p>
    <w:p>
      <w:pPr>
        <w:pStyle w:val="FirstParagraph"/>
      </w:pPr>
      <w:r>
        <w:t xml:space="preserve">The legal profession in</w:t>
      </w:r>
      <w:r>
        <w:t xml:space="preserve"> </w:t>
      </w:r>
      <w:r>
        <w:rPr>
          <w:bCs/>
          <w:b/>
        </w:rPr>
        <w:t xml:space="preserve">Germany Berlin</w:t>
      </w:r>
      <w:r>
        <w:t xml:space="preserve">, like the rest of Europe, is undergoing a digital transformation. While German bureaucracy has historically been paper-heavy, recent legislative reforms have facilitated electronic filing (</w:t>
      </w:r>
      <w:r>
        <w:rPr>
          <w:iCs/>
          <w:i/>
        </w:rPr>
        <w:t xml:space="preserve">E-Akte</w:t>
      </w:r>
      <w:r>
        <w:t xml:space="preserve">) and online communication between lawyers and courts. For a modern</w:t>
      </w:r>
      <w:r>
        <w:t xml:space="preserve"> </w:t>
      </w:r>
      <w:r>
        <w:rPr>
          <w:bCs/>
          <w:b/>
        </w:rPr>
        <w:t xml:space="preserve">Lawyer</w:t>
      </w:r>
      <w:r>
        <w:t xml:space="preserve">, proficiency in legal technology (Legal Tech) is becoming essential.</w:t>
      </w:r>
    </w:p>
    <w:p>
      <w:pPr>
        <w:pStyle w:val="BodyText"/>
      </w:pPr>
      <w:r>
        <w:t xml:space="preserve">Digital platforms now allow for more efficient case management and document exchange. However, the German Bar Association emphasizes that digital tools must not compromise data security or attorney-client privilege. Berlin's tech-savvy population drives a demand for lawyers who can advise on data protection (</w:t>
      </w:r>
      <w:r>
        <w:rPr>
          <w:iCs/>
          <w:i/>
        </w:rPr>
        <w:t xml:space="preserve">Datenschutz</w:t>
      </w:r>
      <w:r>
        <w:t xml:space="preserve">) in compliance with the General Data Protection Regulation (GDPR), adding another layer of specialization to the traditional legal role.</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Lawyer</w:t>
      </w:r>
      <w:r>
        <w:t xml:space="preserve"> </w:t>
      </w:r>
      <w:r>
        <w:t xml:space="preserve">in</w:t>
      </w:r>
      <w:r>
        <w:t xml:space="preserve"> </w:t>
      </w:r>
      <w:r>
        <w:rPr>
          <w:bCs/>
          <w:b/>
        </w:rPr>
        <w:t xml:space="preserve">Germany Berlin</w:t>
      </w:r>
      <w:r>
        <w:t xml:space="preserve"> </w:t>
      </w:r>
      <w:r>
        <w:t xml:space="preserve">serves as a vital intermediary between the individual and a sophisticated, codified legal system. While grounded in centuries-old civil law traditions, the profession is adapting to the rapid changes of an international capital. From strict adherence to ethical codes and standardized fee structures to embracing digital innovations and handling complex cross-border cases, Berlin’s legal practitioners play a multifaceted role.</w:t>
      </w:r>
    </w:p>
    <w:p>
      <w:pPr>
        <w:pStyle w:val="BodyText"/>
      </w:pPr>
      <w:r>
        <w:t xml:space="preserve">Understanding the nuances of practicing law in this specific locale requires acknowledging both the rigid frameworks provided by German federal law and the dynamic, cosmopolitan nature of Berlin itself. As globalization continues to reshape legal landscapes, the</w:t>
      </w:r>
      <w:r>
        <w:t xml:space="preserve"> </w:t>
      </w:r>
      <w:r>
        <w:rPr>
          <w:bCs/>
          <w:b/>
        </w:rPr>
        <w:t xml:space="preserve">Lawyer</w:t>
      </w:r>
      <w:r>
        <w:t xml:space="preserve"> </w:t>
      </w:r>
      <w:r>
        <w:t xml:space="preserve">in</w:t>
      </w:r>
      <w:r>
        <w:t xml:space="preserve"> </w:t>
      </w:r>
      <w:r>
        <w:rPr>
          <w:bCs/>
          <w:b/>
        </w:rPr>
        <w:t xml:space="preserve">Germany Berlin</w:t>
      </w:r>
    </w:p>
    <w:p>
      <w:pPr>
        <w:pStyle w:val="BodyText"/>
      </w:pPr>
      <w:r>
        <w:t xml:space="preserve">s will likely continue to evolve, balancing traditional judicial integrity with modern international demands.</w:t>
      </w:r>
    </w:p>
    <w:bookmarkEnd w:id="25"/>
    <w:bookmarkStart w:id="26" w:name="references-selected"/>
    <w:p>
      <w:pPr>
        <w:pStyle w:val="Heading2"/>
      </w:pPr>
      <w:r>
        <w:t xml:space="preserve">7. References (Selected)</w:t>
      </w:r>
    </w:p>
    <w:p>
      <w:pPr>
        <w:numPr>
          <w:ilvl w:val="0"/>
          <w:numId w:val="1001"/>
        </w:numPr>
        <w:pStyle w:val="Compact"/>
      </w:pPr>
      <w:r>
        <w:t xml:space="preserve">Bundesministerium der Justiz. (2023).</w:t>
      </w:r>
      <w:r>
        <w:t xml:space="preserve"> </w:t>
      </w:r>
      <w:r>
        <w:rPr>
          <w:iCs/>
          <w:i/>
        </w:rPr>
        <w:t xml:space="preserve">The German Legal System</w:t>
      </w:r>
      <w:r>
        <w:t xml:space="preserve">. Berlin.</w:t>
      </w:r>
    </w:p>
    <w:p>
      <w:pPr>
        <w:numPr>
          <w:ilvl w:val="0"/>
          <w:numId w:val="1001"/>
        </w:numPr>
        <w:pStyle w:val="Compact"/>
      </w:pPr>
      <w:r>
        <w:t xml:space="preserve">Raabe, K. J. (2019). "Lawyers in Germany." In</w:t>
      </w:r>
      <w:r>
        <w:t xml:space="preserve"> </w:t>
      </w:r>
      <w:r>
        <w:rPr>
          <w:iCs/>
          <w:i/>
        </w:rPr>
        <w:t xml:space="preserve">International Encyclopedia of Law</w:t>
      </w:r>
      <w:r>
        <w:t xml:space="preserve">.</w:t>
      </w:r>
    </w:p>
    <w:p>
      <w:pPr>
        <w:numPr>
          <w:ilvl w:val="0"/>
          <w:numId w:val="1001"/>
        </w:numPr>
        <w:pStyle w:val="Compact"/>
      </w:pPr>
      <w:r>
        <w:t xml:space="preserve">Hamburg Chamber of Lawyers &amp; Berlin Bar Association. (2021). "</w:t>
      </w:r>
      <w:r>
        <w:rPr>
          <w:iCs/>
          <w:i/>
        </w:rPr>
        <w:t xml:space="preserve">Ethical Guidelines for Legal Practice</w:t>
      </w:r>
      <w:r>
        <w:t xml:space="preserve">."</w:t>
      </w:r>
    </w:p>
    <w:p>
      <w:pPr>
        <w:numPr>
          <w:ilvl w:val="0"/>
          <w:numId w:val="1001"/>
        </w:numPr>
        <w:pStyle w:val="Compact"/>
      </w:pPr>
      <w:r>
        <w:t xml:space="preserve">Kramer, L. (2020). "The Impact of GDPR on Corporate Law Practices in Central Europe."</w:t>
      </w:r>
      <w:r>
        <w:t xml:space="preserve"> </w:t>
      </w:r>
      <w:r>
        <w:rPr>
          <w:iCs/>
          <w:i/>
        </w:rPr>
        <w:t xml:space="preserve">European Law Journal</w:t>
      </w:r>
      <w:r>
        <w:t xml:space="preserve">,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Berlin, Germany</dc:title>
  <dc:creator/>
  <dc:language>en</dc:language>
  <cp:keywords/>
  <dcterms:created xsi:type="dcterms:W3CDTF">2026-07-30T04:49:55Z</dcterms:created>
  <dcterms:modified xsi:type="dcterms:W3CDTF">2026-07-30T04:49:55Z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