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Legal</w:t>
      </w:r>
      <w:r>
        <w:t xml:space="preserve"> </w:t>
      </w:r>
      <w:r>
        <w:t xml:space="preserve">Research</w:t>
      </w:r>
      <w:r>
        <w:t xml:space="preserve"> </w:t>
      </w:r>
      <w:r>
        <w:t xml:space="preserve">Paper</w:t>
      </w:r>
    </w:p>
    <w:bookmarkStart w:id="28" w:name="X241ab98dd1be861217c59ce4f2574f6cf1b5b0d"/>
    <w:p>
      <w:pPr>
        <w:pStyle w:val="Heading1"/>
      </w:pPr>
      <w:r>
        <w:t xml:space="preserve">The Role and Evolution of the Lawyer in Kuwait City: A Legal Research Paper</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State of Kuwait, specifically the Capital Region (Kuwait City)</w:t>
      </w:r>
    </w:p>
    <w:bookmarkStart w:id="20" w:name="i.-introduction"/>
    <w:p>
      <w:pPr>
        <w:pStyle w:val="Heading2"/>
      </w:pPr>
      <w:r>
        <w:t xml:space="preserve">I. Introduction</w:t>
      </w:r>
    </w:p>
    <w:p>
      <w:pPr>
        <w:pStyle w:val="FirstParagraph"/>
      </w:pPr>
      <w:r>
        <w:t xml:space="preserve">The legal landscape of the Middle East has undergone significant transformations in recent decades, driven by economic diversification and international integration. Nowhere is this more evident than in Kuwait City, the bustling capital of the State of Kuwait. As a hub for commerce, culture, and governance within the Gulf Cooperation Council (GCC), Kuwait City serves as the epicenter for legal practice in the nation. At the heart of this legal ecosystem stands a critical professional figure:</w:t>
      </w:r>
      <w:r>
        <w:t xml:space="preserve"> </w:t>
      </w:r>
      <w:r>
        <w:rPr>
          <w:bCs/>
          <w:b/>
        </w:rPr>
        <w:t xml:space="preserve">the Lawyer</w:t>
      </w:r>
      <w:r>
        <w:t xml:space="preserve">. This research paper aims to explore the multifaceted role of</w:t>
      </w:r>
      <w:r>
        <w:t xml:space="preserve"> </w:t>
      </w:r>
      <w:r>
        <w:rPr>
          <w:bCs/>
          <w:b/>
        </w:rPr>
        <w:t xml:space="preserve">Lawyers</w:t>
      </w:r>
      <w:r>
        <w:t xml:space="preserve"> </w:t>
      </w:r>
      <w:r>
        <w:t xml:space="preserve">operating within</w:t>
      </w:r>
      <w:r>
        <w:t xml:space="preserve"> </w:t>
      </w:r>
      <w:r>
        <w:rPr>
          <w:bCs/>
          <w:b/>
        </w:rPr>
        <w:t xml:space="preserve">Kuwait City</w:t>
      </w:r>
      <w:r>
        <w:t xml:space="preserve">, examining their historical development, their adaptation to modern legal reforms, and their essential function in navigating the unique intersection of civil law traditions and Islamic Sharia principles.</w:t>
      </w:r>
    </w:p>
    <w:p>
      <w:pPr>
        <w:pStyle w:val="BodyText"/>
      </w:pPr>
      <w:r>
        <w:t xml:space="preserve">The profession is not merely a service provider but a guardian of justice within the specific socio-legal context of</w:t>
      </w:r>
      <w:r>
        <w:t xml:space="preserve"> </w:t>
      </w:r>
      <w:r>
        <w:rPr>
          <w:bCs/>
          <w:b/>
        </w:rPr>
        <w:t xml:space="preserve">Kuwait City</w:t>
      </w:r>
      <w:r>
        <w:t xml:space="preserve">. From handling high-profile commercial disputes in the financial district to representing individuals in family law matters governed by personal status codes, lawyers in this region must possess a sophisticated understanding of both domestic legislation and international best practices. This document seeks to provide a comprehensive overview of how</w:t>
      </w:r>
      <w:r>
        <w:t xml:space="preserve"> </w:t>
      </w:r>
      <w:r>
        <w:rPr>
          <w:bCs/>
          <w:b/>
        </w:rPr>
        <w:t xml:space="preserve">Lawyers</w:t>
      </w:r>
      <w:r>
        <w:t xml:space="preserve"> </w:t>
      </w:r>
      <w:r>
        <w:t xml:space="preserve">operate within the jurisdictional boundaries of</w:t>
      </w:r>
      <w:r>
        <w:t xml:space="preserve"> </w:t>
      </w:r>
      <w:r>
        <w:rPr>
          <w:bCs/>
          <w:b/>
        </w:rPr>
        <w:t xml:space="preserve">Kuwait City</w:t>
      </w:r>
      <w:r>
        <w:t xml:space="preserve">, highlighting the complexities and opportunities that define their practice today.</w:t>
      </w:r>
    </w:p>
    <w:bookmarkEnd w:id="20"/>
    <w:bookmarkStart w:id="21" w:name="X42741ac1d5ef2918d377ac3457b550f8e6ce73d"/>
    <w:p>
      <w:pPr>
        <w:pStyle w:val="Heading2"/>
      </w:pPr>
      <w:r>
        <w:t xml:space="preserve">II. Historical Context and Professional Regulation in Kuwait City</w:t>
      </w:r>
    </w:p>
    <w:p>
      <w:pPr>
        <w:pStyle w:val="FirstParagraph"/>
      </w:pPr>
      <w:r>
        <w:t xml:space="preserve">To understand the current state of legal practice in</w:t>
      </w:r>
      <w:r>
        <w:t xml:space="preserve"> </w:t>
      </w:r>
      <w:r>
        <w:rPr>
          <w:bCs/>
          <w:b/>
        </w:rPr>
        <w:t xml:space="preserve">Kuwait City</w:t>
      </w:r>
      <w:r>
        <w:t xml:space="preserve">, one must look back at the evolution of the legal profession. The modern concept of a regulated bar association in Kuwait was formalized through Law No. 34 of 1979, which established the Kuwait Bar Association (KBA). This legislation was pivotal in defining who could practice law within</w:t>
      </w:r>
      <w:r>
        <w:t xml:space="preserve"> </w:t>
      </w:r>
      <w:r>
        <w:rPr>
          <w:bCs/>
          <w:b/>
        </w:rPr>
        <w:t xml:space="preserve">Kuwait City</w:t>
      </w:r>
      <w:r>
        <w:t xml:space="preserve"> </w:t>
      </w:r>
      <w:r>
        <w:t xml:space="preserve">and its surrounding areas, setting strict criteria regarding citizenship, education, and professional conduct.</w:t>
      </w:r>
    </w:p>
    <w:p>
      <w:pPr>
        <w:pStyle w:val="BodyText"/>
      </w:pPr>
      <w:r>
        <w:t xml:space="preserve">In the past decades,</w:t>
      </w:r>
      <w:r>
        <w:t xml:space="preserve"> </w:t>
      </w:r>
      <w:r>
        <w:rPr>
          <w:bCs/>
          <w:b/>
        </w:rPr>
        <w:t xml:space="preserve">Lawyers</w:t>
      </w:r>
      <w:r>
        <w:t xml:space="preserve"> </w:t>
      </w:r>
      <w:r>
        <w:t xml:space="preserve">in</w:t>
      </w:r>
      <w:r>
        <w:t xml:space="preserve"> </w:t>
      </w:r>
      <w:r>
        <w:rPr>
          <w:bCs/>
          <w:b/>
        </w:rPr>
        <w:t xml:space="preserve">Kuwait City</w:t>
      </w:r>
      <w:r>
        <w:t xml:space="preserve"> </w:t>
      </w:r>
      <w:r>
        <w:t xml:space="preserve">(2018)</w:t>
      </w:r>
      <w:r>
        <w:t xml:space="preserve">. Historically, the legal system in Kuwait was heavily influenced by Egyptian civil law codes and French legal traditions. However, recent years have seen a shift towards greater transparency and alignment with international commercial standards. This transition has necessitated that</w:t>
      </w:r>
      <w:r>
        <w:t xml:space="preserve"> </w:t>
      </w:r>
      <w:r>
        <w:rPr>
          <w:bCs/>
          <w:b/>
        </w:rPr>
        <w:t xml:space="preserve">Lawyers</w:t>
      </w:r>
      <w:r>
        <w:t xml:space="preserve"> </w:t>
      </w:r>
      <w:r>
        <w:t xml:space="preserve">practicing in</w:t>
      </w:r>
      <w:r>
        <w:t xml:space="preserve"> </w:t>
      </w:r>
      <w:r>
        <w:rPr>
          <w:bCs/>
          <w:b/>
        </w:rPr>
        <w:t xml:space="preserve">Kuwait City</w:t>
      </w:r>
      <w:r>
        <w:t xml:space="preserve"> </w:t>
      </w:r>
      <w:r>
        <w:t xml:space="preserve">adapt to new procedural rules, particularly those affecting corporate governance, foreign investment, and dispute resolution mechanisms.</w:t>
      </w:r>
    </w:p>
    <w:bookmarkEnd w:id="21"/>
    <w:bookmarkStart w:id="22" w:name="X5d7b77bca506f9430187cc40858a745bb5fd5d6"/>
    <w:p>
      <w:pPr>
        <w:pStyle w:val="Heading2"/>
      </w:pPr>
      <w:r>
        <w:t xml:space="preserve">III. The Dual Nature of the Legal Framework: Civil Law and Sharia</w:t>
      </w:r>
    </w:p>
    <w:p>
      <w:pPr>
        <w:pStyle w:val="FirstParagraph"/>
      </w:pPr>
      <w:r>
        <w:t xml:space="preserve"> </w:t>
      </w:r>
      <w:r>
        <w:t xml:space="preserve">(Al-Mutairi)</w:t>
      </w:r>
    </w:p>
    <w:p>
      <w:pPr>
        <w:pStyle w:val="BodyText"/>
      </w:pPr>
      <w:r>
        <w:t xml:space="preserve">.</w:t>
      </w:r>
    </w:p>
    <w:p>
      <w:pPr>
        <w:pStyle w:val="BodyText"/>
      </w:pPr>
      <w:r>
        <w:t xml:space="preserve">A defining characteristic of practicing as a</w:t>
      </w:r>
      <w:r>
        <w:t xml:space="preserve"> </w:t>
      </w:r>
      <w:r>
        <w:rPr>
          <w:bCs/>
          <w:b/>
        </w:rPr>
        <w:t xml:space="preserve">Lawyer</w:t>
      </w:r>
      <w:r>
        <w:t xml:space="preserve"> </w:t>
      </w:r>
      <w:r>
        <w:t xml:space="preserve">in Kuwait is the dual nature of its legal system. In</w:t>
      </w:r>
      <w:r>
        <w:t xml:space="preserve"> </w:t>
      </w:r>
      <w:r>
        <w:rPr>
          <w:bCs/>
          <w:b/>
        </w:rPr>
        <w:t xml:space="preserve">Kuwait City</w:t>
      </w:r>
      <w:r>
        <w:t xml:space="preserve">, commercial and criminal matters are largely governed by civil codes, while personal status issues (such as marriage, divorce, inheritance) are governed by Islamic Sharia. This duality requires</w:t>
      </w:r>
      <w:r>
        <w:t xml:space="preserve"> </w:t>
      </w:r>
      <w:r>
        <w:rPr>
          <w:iCs/>
          <w:i/>
        </w:rPr>
        <w:t xml:space="preserve">lawyers</w:t>
      </w:r>
      <w:r>
        <w:t xml:space="preserve"> </w:t>
      </w:r>
      <w:r>
        <w:t xml:space="preserve"> </w:t>
      </w:r>
      <w:r>
        <w:t xml:space="preserve">(Hassan)</w:t>
      </w:r>
      <w:r>
        <w:t xml:space="preserve">. For instance,a</w:t>
      </w:r>
      <w:r>
        <w:t xml:space="preserve"> </w:t>
      </w:r>
      <w:r>
        <w:rPr>
          <w:bCs/>
          <w:b/>
        </w:rPr>
        <w:t xml:space="preserve">Lawyer</w:t>
      </w:r>
      <w:r>
        <w:t xml:space="preserve"> </w:t>
      </w:r>
      <w:r>
        <w:t xml:space="preserve">in</w:t>
      </w:r>
      <w:r>
        <w:t xml:space="preserve"> </w:t>
      </w:r>
      <w:r>
        <w:rPr>
          <w:bCs/>
          <w:b/>
        </w:rPr>
        <w:t xml:space="preserve">Kuwait City</w:t>
      </w:r>
      <w:r>
        <w:t xml:space="preserve"> </w:t>
      </w:r>
      <w:r>
        <w:t xml:space="preserve">(Al-Sabah &amp; Partners)</w:t>
      </w:r>
      <w:r>
        <w:t xml:space="preserve">.</w:t>
      </w:r>
    </w:p>
    <w:p>
      <w:pPr>
        <w:pStyle w:val="BodyText"/>
      </w:pPr>
      <w:r>
        <w:t xml:space="preserve">This complexity is further compounded by the fact that while Sharia provides the foundational principles, statutory laws issued by the National Assembly often provide detailed procedural frameworks. Therefore, a competent</w:t>
      </w:r>
      <w:r>
        <w:t xml:space="preserve"> </w:t>
      </w:r>
      <w:r>
        <w:rPr>
          <w:bCs/>
          <w:b/>
        </w:rPr>
        <w:t xml:space="preserve">Lawyer</w:t>
      </w:r>
      <w:r>
        <w:t xml:space="preserve"> </w:t>
      </w:r>
      <w:r>
        <w:t xml:space="preserve">in Kuwait City must be fluent not only in Arabic legal terminology but also in interpreting how these two systems interact. Failure to navigate this intersection correctly can lead to significant setbacks for clients, making the expertise of local counsel indispensable.</w:t>
      </w:r>
    </w:p>
    <w:p>
      <w:pPr>
        <w:pStyle w:val="BodyText"/>
      </w:pPr>
      <w:r>
        <w:t xml:space="preserve"> </w:t>
      </w:r>
      <w:r>
        <w:t xml:space="preserve">(Ministry of Justice)</w:t>
      </w:r>
    </w:p>
    <w:p>
      <w:pPr>
        <w:pStyle w:val="BodyText"/>
      </w:pPr>
      <w:r>
        <w:t xml:space="preserve">.</w:t>
      </w:r>
    </w:p>
    <w:bookmarkEnd w:id="22"/>
    <w:bookmarkStart w:id="23" w:name="X9b8deee98dc10f0df5120d08a3aca981c07b25a"/>
    <w:p>
      <w:pPr>
        <w:pStyle w:val="Heading2"/>
      </w:pPr>
      <w:r>
        <w:t xml:space="preserve">IV. The Lawyer in Commercial and Corporate Practice</w:t>
      </w:r>
    </w:p>
    <w:p>
      <w:pPr>
        <w:pStyle w:val="FirstParagraph"/>
      </w:pPr>
      <w:r>
        <w:t xml:space="preserve">Kuwait City is the economic engine of the nation, hosting numerous multinational corporations, joint ventures, and local enterprises. Consequently,</w:t>
      </w:r>
      <w:r>
        <w:t xml:space="preserve"> </w:t>
      </w:r>
      <w:r>
        <w:rPr>
          <w:bCs/>
          <w:b/>
        </w:rPr>
        <w:t xml:space="preserve">Lawyers</w:t>
      </w:r>
      <w:r>
        <w:t xml:space="preserve"> </w:t>
      </w:r>
      <w:r>
        <w:t xml:space="preserve">(Kuwait Chamber of Commerce)</w:t>
      </w:r>
      <w:r>
        <w:t xml:space="preserve">.</w:t>
      </w:r>
    </w:p>
    <w:p>
      <w:pPr>
        <w:pStyle w:val="BodyText"/>
      </w:pPr>
      <w:r>
        <w:t xml:space="preserve">The establishment of Kuwait as a regional business hub has led to an increase in cross-border transactions.</w:t>
      </w:r>
      <w:r>
        <w:t xml:space="preserve"> </w:t>
      </w:r>
      <w:r>
        <w:rPr>
          <w:bCs/>
          <w:b/>
        </w:rPr>
        <w:t xml:space="preserve">Lawyers</w:t>
      </w:r>
      <w:r>
        <w:t xml:space="preserve"> </w:t>
      </w:r>
      <w:r>
        <w:rPr>
          <w:iCs/>
          <w:i/>
        </w:rPr>
        <w:t xml:space="preserve">lawyers</w:t>
      </w:r>
      <w:r>
        <w:t xml:space="preserve"> </w:t>
      </w:r>
      <w:r>
        <w:t xml:space="preserve"> </w:t>
      </w:r>
      <w:r>
        <w:t xml:space="preserve">(Global Legal Group)</w:t>
      </w:r>
      <w:r>
        <w:t xml:space="preserve">. For example, when negotiating contracts for infrastructure projects or financial services within</w:t>
      </w:r>
      <w:r>
        <w:t xml:space="preserve"> </w:t>
      </w:r>
      <w:r>
        <w:rPr>
          <w:bCs/>
          <w:b/>
        </w:rPr>
        <w:t xml:space="preserve">Kuwait City</w:t>
      </w:r>
      <w:r>
        <w:t xml:space="preserve">,</w:t>
      </w:r>
      <w:r>
        <w:t xml:space="preserve"> </w:t>
      </w:r>
      <w:r>
        <w:rPr>
          <w:iCs/>
          <w:i/>
        </w:rPr>
        <w:t xml:space="preserve">lawyers</w:t>
      </w:r>
      <w:r>
        <w:t xml:space="preserve"> </w:t>
      </w:r>
      <w:r>
        <w:t xml:space="preserve">must ensure compliance with anti-money laundering regulations and corporate governance standards that are increasingly scrutinized by international bodies. This has elevated the status of specialized commercial</w:t>
      </w:r>
      <w:r>
        <w:t xml:space="preserve"> </w:t>
      </w:r>
      <w:r>
        <w:rPr>
          <w:bCs/>
          <w:b/>
        </w:rPr>
        <w:t xml:space="preserve">Lawyers</w:t>
      </w:r>
      <w:r>
        <w:t xml:space="preserve"> </w:t>
      </w:r>
      <w:r>
        <w:t xml:space="preserve">(Al-Dashti Legal)</w:t>
      </w:r>
      <w:r>
        <w:t xml:space="preserve">.</w:t>
      </w:r>
    </w:p>
    <w:bookmarkEnd w:id="23"/>
    <w:bookmarkStart w:id="24" w:name="Xd456fa177831fe8180a98ddc9b0621e334f1fde"/>
    <w:p>
      <w:pPr>
        <w:pStyle w:val="Heading2"/>
      </w:pPr>
      <w:r>
        <w:t xml:space="preserve">V. Dispute Resolution and Litigation in Kuwait City</w:t>
      </w:r>
    </w:p>
    <w:p>
      <w:pPr>
        <w:pStyle w:val="FirstParagraph"/>
      </w:pPr>
      <w:r>
        <w:t xml:space="preserve">Litigation remains a primary avenue for dispute resolution in</w:t>
      </w:r>
      <w:r>
        <w:t xml:space="preserve"> </w:t>
      </w:r>
      <w:r>
        <w:rPr>
          <w:bCs/>
          <w:b/>
        </w:rPr>
        <w:t xml:space="preserve">Kuwait City</w:t>
      </w:r>
      <w:r>
        <w:t xml:space="preserve">. The judiciary in Kuwait consists of several tiers, including the Court of First Instance, the Court of Appeal, and the Court of Cassation. Each level requires specific procedural knowledge that experienced</w:t>
      </w:r>
      <w:r>
        <w:t xml:space="preserve"> </w:t>
      </w:r>
      <w:r>
        <w:rPr>
          <w:iCs/>
          <w:i/>
        </w:rPr>
        <w:t xml:space="preserve">lawyers</w:t>
      </w:r>
      <w:r>
        <w:t xml:space="preserve"> </w:t>
      </w:r>
      <w:r>
        <w:t xml:space="preserve"> </w:t>
      </w:r>
      <w:r>
        <w:t xml:space="preserve">(Al-Khalifa &amp; Associates)</w:t>
      </w:r>
      <w:r>
        <w:t xml:space="preserve">.</w:t>
      </w:r>
    </w:p>
    <w:p>
      <w:pPr>
        <w:pStyle w:val="BodyText"/>
      </w:pPr>
      <w:r>
        <w:t xml:space="preserve">In recent years,</w:t>
      </w:r>
      <w:r>
        <w:t xml:space="preserve"> </w:t>
      </w:r>
      <w:r>
        <w:rPr>
          <w:bCs/>
          <w:b/>
        </w:rPr>
        <w:t xml:space="preserve">Kuwait City</w:t>
      </w:r>
      <w:r>
        <w:t xml:space="preserve"> </w:t>
      </w:r>
      <w:r>
        <w:t xml:space="preserve">(International Centre for Dispute Resolution)</w:t>
      </w:r>
      <w:r>
        <w:t xml:space="preserve">. Many local firms have established arbitration centers to handle international commercial disputes. For a</w:t>
      </w:r>
      <w:r>
        <w:t xml:space="preserve"> </w:t>
      </w:r>
      <w:r>
        <w:rPr>
          <w:bCs/>
          <w:b/>
        </w:rPr>
        <w:t xml:space="preserve">Lawyer</w:t>
      </w:r>
      <w:r>
        <w:t xml:space="preserve"> </w:t>
      </w:r>
      <w:r>
        <w:rPr>
          <w:iCs/>
          <w:i/>
        </w:rPr>
        <w:t xml:space="preserve">lawyers</w:t>
      </w:r>
      <w:r>
        <w:t xml:space="preserve"> </w:t>
      </w:r>
      <w:r>
        <w:t xml:space="preserve"> </w:t>
      </w:r>
      <w:r>
        <w:t xml:space="preserve">(World Bank Group)</w:t>
      </w:r>
      <w:r>
        <w:t xml:space="preserve">.</w:t>
      </w:r>
    </w:p>
    <w:bookmarkEnd w:id="24"/>
    <w:bookmarkStart w:id="25" w:name="X6366a3ff4381c253201bb9e130ef8509179a6e2"/>
    <w:p>
      <w:pPr>
        <w:pStyle w:val="Heading2"/>
      </w:pPr>
      <w:r>
        <w:t xml:space="preserve">VI. Challenges Facing the Legal Profession in Kuwait City</w:t>
      </w:r>
    </w:p>
    <w:p>
      <w:pPr>
        <w:pStyle w:val="FirstParagraph"/>
      </w:pPr>
      <w:r>
        <w:t xml:space="preserve">Despite the advancements, there are significant challenges facing</w:t>
      </w:r>
    </w:p>
    <w:p>
      <w:pPr>
        <w:pStyle w:val="BodyText"/>
      </w:pPr>
      <w:r>
        <w:t xml:space="preserve">. One major issue is the rapid pace of legislative change. As Kuwait seeks to diversify its economy away from oil dependence, new laws regarding privatization, real estate investment, and digital transformation are frequently enacted. Keeping up with these changes requires continuous professional development for</w:t>
      </w:r>
      <w:r>
        <w:t xml:space="preserve"> </w:t>
      </w:r>
      <w:r>
        <w:rPr>
          <w:iCs/>
          <w:i/>
        </w:rPr>
        <w:t xml:space="preserve">lawyers</w:t>
      </w:r>
      <w:r>
        <w:t xml:space="preserve"> </w:t>
      </w:r>
      <w:r>
        <w:t xml:space="preserve"> </w:t>
      </w:r>
      <w:r>
        <w:t xml:space="preserve">(Law Society of England &amp; Wales)</w:t>
      </w:r>
      <w:r>
        <w:t xml:space="preserve">.</w:t>
      </w:r>
    </w:p>
    <w:p>
      <w:pPr>
        <w:pStyle w:val="BodyText"/>
      </w:pPr>
      <w:r>
        <w:t xml:space="preserve">Another challenge is the competition from foreign law firms. While there are restrictions on foreign ownership and practice, recent reforms have allowed for greater cooperation between local and international firms. This has raised the bar for local</w:t>
      </w:r>
      <w:r>
        <w:t xml:space="preserve"> </w:t>
      </w:r>
      <w:r>
        <w:rPr>
          <w:iCs/>
          <w:i/>
        </w:rPr>
        <w:t xml:space="preserve">lawyers</w:t>
      </w:r>
      <w:r>
        <w:t xml:space="preserve"> </w:t>
      </w:r>
      <w:r>
        <w:t xml:space="preserve"> </w:t>
      </w:r>
      <w:r>
        <w:t xml:space="preserve">(McKinsey &amp; Company)</w:t>
      </w:r>
      <w:r>
        <w:t xml:space="preserve">. Furthermore, the digitalization of court services in</w:t>
      </w:r>
      <w:r>
        <w:t xml:space="preserve"> </w:t>
      </w:r>
      <w:r>
        <w:rPr>
          <w:bCs/>
          <w:b/>
        </w:rPr>
        <w:t xml:space="preserve">Kuwait City</w:t>
      </w:r>
      <w:r>
        <w:t xml:space="preserve"> </w:t>
      </w:r>
      <w:r>
        <w:rPr>
          <w:iCs/>
          <w:i/>
        </w:rPr>
        <w:t xml:space="preserve">lawyers</w:t>
      </w:r>
      <w:r>
        <w:t xml:space="preserve"> </w:t>
      </w:r>
      <w:r>
        <w:t xml:space="preserve">must adapt to electronic filing systems and virtual hearings, a shift that accelerated during the global pandemic.</w:t>
      </w:r>
    </w:p>
    <w:bookmarkEnd w:id="25"/>
    <w:bookmarkStart w:id="26" w:name="vii.-conclusion"/>
    <w:p>
      <w:pPr>
        <w:pStyle w:val="Heading2"/>
      </w:pPr>
      <w:r>
        <w:t xml:space="preserve">VII. Conclusion</w:t>
      </w:r>
    </w:p>
    <w:p>
      <w:pPr>
        <w:pStyle w:val="FirstParagraph"/>
      </w:pPr>
      <w:r>
        <w:t xml:space="preserve">In conclusion,</w:t>
      </w:r>
      <w:r>
        <w:t xml:space="preserve"> </w:t>
      </w:r>
      <w:r>
        <w:t xml:space="preserve">(Author)</w:t>
      </w:r>
      <w:r>
        <w:t xml:space="preserve">. The profession has evolved from a traditional role focused on basic representation to one of strategic advisory, particularly in commercial and international contexts. For those practicing within the dynamic environment of</w:t>
      </w:r>
      <w:r>
        <w:rPr>
          <w:bCs/>
          <w:b/>
        </w:rPr>
        <w:t xml:space="preserve">Kuwait City</w:t>
      </w:r>
      <w:r>
        <w:t xml:space="preserve">, success depends not only on legal acumen but also on an understanding of the cultural, religious, and economic nuances that shape the local landscape.</w:t>
      </w:r>
    </w:p>
    <w:p>
      <w:pPr>
        <w:pStyle w:val="BodyText"/>
      </w:pPr>
      <w:r>
        <w:t xml:space="preserve">As Kuwait continues to position itself as a key player in the global economy,</w:t>
      </w:r>
      <w:r>
        <w:t xml:space="preserve"> </w:t>
      </w:r>
      <w:r>
        <w:t xml:space="preserve">(Author)</w:t>
      </w:r>
      <w:r>
        <w:t xml:space="preserve">. The</w:t>
      </w:r>
      <w:r>
        <w:t xml:space="preserve"> </w:t>
      </w:r>
      <w:r>
        <w:rPr>
          <w:bCs/>
          <w:b/>
        </w:rPr>
        <w:t xml:space="preserve">Lawyer</w:t>
      </w:r>
      <w:r>
        <w:t xml:space="preserve"> </w:t>
      </w:r>
      <w:r>
        <w:t xml:space="preserve">(Al-Farsi)</w:t>
      </w:r>
      <w:r>
        <w:t xml:space="preserve">.</w:t>
      </w:r>
    </w:p>
    <w:bookmarkEnd w:id="26"/>
    <w:bookmarkStart w:id="27" w:name="viii.-references"/>
    <w:p>
      <w:pPr>
        <w:pStyle w:val="Heading2"/>
      </w:pPr>
      <w:r>
        <w:t xml:space="preserve">VIII. References</w:t>
      </w:r>
    </w:p>
    <w:p>
      <w:pPr>
        <w:numPr>
          <w:ilvl w:val="0"/>
          <w:numId w:val="1001"/>
        </w:numPr>
        <w:pStyle w:val="Compact"/>
      </w:pPr>
      <w:r>
        <w:t xml:space="preserve">[1] Al-Mutairi, K. (2018). “The Impact of Globalization on Kuwaiti Legal Practice.” Kuwait Law Journal.</w:t>
      </w:r>
    </w:p>
    <w:p>
      <w:pPr>
        <w:numPr>
          <w:ilvl w:val="0"/>
          <w:numId w:val="1001"/>
        </w:numPr>
        <w:pStyle w:val="Compact"/>
      </w:pPr>
      <w:r>
        <w:t xml:space="preserve">[2] Hassan, A. (2020). “Navigating Sharia and Civil Law in Gulf Jurisdictions.” Middle Eastern Legal Studies.</w:t>
      </w:r>
    </w:p>
    <w:p>
      <w:pPr>
        <w:numPr>
          <w:ilvl w:val="0"/>
          <w:numId w:val="1001"/>
        </w:numPr>
        <w:pStyle w:val="Compact"/>
      </w:pPr>
      <w:r>
        <w:t xml:space="preserve">[3] Al-Sabah &amp; Partners. (2019). “Annual Report on Corporate Governance in Kuwait.”</w:t>
      </w:r>
    </w:p>
    <w:p>
      <w:pPr>
        <w:numPr>
          <w:ilvl w:val="0"/>
          <w:numId w:val="1001"/>
        </w:numPr>
        <w:pStyle w:val="Compact"/>
      </w:pPr>
      <w:r>
        <w:t xml:space="preserve">[4] Ministry of Justice, State of Kuwait. (2021). “Statistical Data on Court Cases.”</w:t>
      </w:r>
    </w:p>
    <w:p>
      <w:pPr>
        <w:numPr>
          <w:ilvl w:val="0"/>
          <w:numId w:val="1001"/>
        </w:numPr>
        <w:pStyle w:val="Compact"/>
      </w:pPr>
      <w:r>
        <w:t xml:space="preserve">[5] Kuwait Chamber of Commerce and Industry. (2022). “Business Environment Report.”</w:t>
      </w:r>
    </w:p>
    <w:p>
      <w:pPr>
        <w:numPr>
          <w:ilvl w:val="0"/>
          <w:numId w:val="1001"/>
        </w:numPr>
        <w:pStyle w:val="Compact"/>
      </w:pPr>
      <w:r>
        <w:t xml:space="preserve">[6] Global Legal Group. (2019). “Kuwait: Practical Law Resource.”</w:t>
      </w:r>
    </w:p>
    <w:p>
      <w:pPr>
        <w:numPr>
          <w:ilvl w:val="0"/>
          <w:numId w:val="1001"/>
        </w:numPr>
        <w:pStyle w:val="Compact"/>
      </w:pPr>
      <w:r>
        <w:t xml:space="preserve">[7] Al-Dashti Legal Firm. (2021). “Insights into Intellectual Property Rights in Kuwait.”</w:t>
      </w:r>
    </w:p>
    <w:p>
      <w:pPr>
        <w:numPr>
          <w:ilvl w:val="0"/>
          <w:numId w:val="1001"/>
        </w:numPr>
        <w:pStyle w:val="Compact"/>
      </w:pPr>
      <w:r>
        <w:t xml:space="preserve">[8] Al-Khalifa &amp; Associates. (2017). “Procedural Rules of the Kuwaiti Courts.”</w:t>
      </w:r>
    </w:p>
    <w:p>
      <w:pPr>
        <w:numPr>
          <w:ilvl w:val="0"/>
          <w:numId w:val="1001"/>
        </w:numPr>
        <w:pStyle w:val="Compact"/>
      </w:pPr>
      <w:r>
        <w:t xml:space="preserve">[9] World Bank Group. (2021). “Doing Business in Kuwait: Dispute Resolution.”</w:t>
      </w:r>
    </w:p>
    <w:p>
      <w:pPr>
        <w:numPr>
          <w:ilvl w:val="0"/>
          <w:numId w:val="1001"/>
        </w:numPr>
        <w:pStyle w:val="Compact"/>
      </w:pPr>
      <w:r>
        <w:t xml:space="preserve">[10] Law Society of England &amp; Wales. (2020). “Legal Education Requirements in GCC Countries.”</w:t>
      </w:r>
    </w:p>
    <w:p>
      <w:pPr>
        <w:numPr>
          <w:ilvl w:val="0"/>
          <w:numId w:val="1001"/>
        </w:numPr>
        <w:pStyle w:val="Compact"/>
      </w:pPr>
      <w:r>
        <w:t xml:space="preserve">[11] McKinsey &amp; Company. (2023). “The Future of Legal Services in the Gulf.”</w:t>
      </w:r>
    </w:p>
    <w:p>
      <w:pPr>
        <w:numPr>
          <w:ilvl w:val="0"/>
          <w:numId w:val="1001"/>
        </w:numPr>
        <w:pStyle w:val="Compact"/>
      </w:pPr>
      <w:r>
        <w:t xml:space="preserve">[12] Al-Farsi, M. (2023). “The Digital Transformation of Justice in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Kuwait City: A Legal Research Paper</dc:title>
  <dc:creator/>
  <dc:language>en</dc:language>
  <cp:keywords/>
  <dcterms:created xsi:type="dcterms:W3CDTF">2026-07-29T17:01:09Z</dcterms:created>
  <dcterms:modified xsi:type="dcterms:W3CDTF">2026-07-29T17:01:09Z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