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0" w:name="X3522cade7f16e8320ae741a32cbfea682294da4"/>
    <w:p>
      <w:pPr>
        <w:pStyle w:val="Heading1"/>
      </w:pPr>
      <w:r>
        <w:t xml:space="preserve">The Role and Evolution of the Legal Practitioner: A Comprehensive Analysis of the Lawyer Profession in Malaysia, Kuala Lumpur</w:t>
      </w:r>
    </w:p>
    <w:bookmarkStart w:id="20" w:name="abstract"/>
    <w:p>
      <w:pPr>
        <w:pStyle w:val="Heading2"/>
      </w:pPr>
      <w:r>
        <w:t xml:space="preserve">Abstract</w:t>
      </w:r>
    </w:p>
    <w:p>
      <w:pPr>
        <w:pStyle w:val="FirstParagraph"/>
      </w:pPr>
      <w:r>
        <w:t xml:space="preserve">This research paper explores the multifaceted role, regulatory framework, and socio-economic impact of lawyers within the legal landscape of Malaysia, with a specific focus on its capital city, Kuala Lumpur. As a burgeoning hub for international business in Southeast Asia, Kuala Lumpur demands a sophisticated legal infrastructure. This study examines the dual system of legal practice (Advocate and Solicitor), the challenges faced by practitioners in an increasingly digital and globalized market, and the ethical obligations inherent to maintaining justice in Malaysia's unique pluralistic society.</w:t>
      </w:r>
    </w:p>
    <w:bookmarkEnd w:id="20"/>
    <w:bookmarkStart w:id="21" w:name="introduction"/>
    <w:p>
      <w:pPr>
        <w:pStyle w:val="Heading2"/>
      </w:pPr>
      <w:r>
        <w:t xml:space="preserve">1. Introduction</w:t>
      </w:r>
    </w:p>
    <w:p>
      <w:pPr>
        <w:pStyle w:val="FirstParagraph"/>
      </w:pPr>
      <w:r>
        <w:t xml:space="preserve">In any democratic society structured under the rule of law, the lawyer serves as a pivotal figure, bridging the gap between statutory regulations and individual rights. In Malaysia, a nation characterized by its multicultural diversity and common law heritage inherited from British colonial rule, the legal profession holds a distinguished place in public life. This paper specifically targets Kuala Lumpur, Malaysia’s economic heart and administrative center. As Kuala Lumpur continues to solidify its position as a global city for finance and trade, the demand for high-quality legal services has surged.</w:t>
      </w:r>
    </w:p>
    <w:p>
      <w:pPr>
        <w:pStyle w:val="BodyText"/>
      </w:pPr>
      <w:r>
        <w:t xml:space="preserve">The term "Lawyer" in the Malaysian context refers specifically to an Advocate and Solicitor of the High Court Malaya, admitted under the Legal Profession Act 1976. Understanding the dynamics of this profession in Kuala Lumpur is crucial not only for legal scholars but also for policymakers and international stakeholders interested in Malaysia’s judicial efficiency and access to justice.</w:t>
      </w:r>
    </w:p>
    <w:bookmarkEnd w:id="21"/>
    <w:bookmarkStart w:id="22" w:name="the-regulatory-framework-the-dual-system"/>
    <w:p>
      <w:pPr>
        <w:pStyle w:val="Heading2"/>
      </w:pPr>
      <w:r>
        <w:t xml:space="preserve">2. The Regulatory Framework: The Dual System</w:t>
      </w:r>
    </w:p>
    <w:p>
      <w:pPr>
        <w:pStyle w:val="FirstParagraph"/>
      </w:pPr>
      <w:r>
        <w:t xml:space="preserve">A defining characteristic of the legal profession in Malaysia, and consequently in Kuala Lumpur, is the unified bar. Unlike jurisdictions such as England or the United States, which separate barristers (litigators) and solicitors (transactional lawyers), Malaysia maintains a single category of legal practitioner: the Advocate and Solicitor. This dual role allows a lawyer to both draft documents/advise clients on transactional matters in chambers and appear in court for litigation.</w:t>
      </w:r>
    </w:p>
    <w:p>
      <w:pPr>
        <w:pStyle w:val="BodyText"/>
      </w:pPr>
      <w:r>
        <w:t xml:space="preserve">This system, governed primarily by the Legal Profession Act 1976, requires rigorous qualification. To practice as a lawyer in Kuala Lumpur, one must complete a recognized legal degree (often supplemented by a Professional Certificate in Legal Practice or completion of an LL.B. with vocational training), undergo pupillage (a two-year apprenticeship) under a senior partner in a law firm, and pass the written examinations set by the Malaysian Legal Profession Qualifying Board. This stringent process ensures that lawyers operating in Kuala Lumpur possess comprehensive skills across both advisory and advocacy domains.</w:t>
      </w:r>
    </w:p>
    <w:bookmarkEnd w:id="22"/>
    <w:bookmarkStart w:id="25" w:name="Xbd33ebfd71109f627dc96273cb17700c6b0278d"/>
    <w:p>
      <w:pPr>
        <w:pStyle w:val="Heading2"/>
      </w:pPr>
      <w:r>
        <w:t xml:space="preserve">3. The Socio-Economic Context of Kuala Lumpur</w:t>
      </w:r>
    </w:p>
    <w:p>
      <w:pPr>
        <w:pStyle w:val="FirstParagraph"/>
      </w:pPr>
      <w:r>
        <w:t xml:space="preserve">Kuala Lumpur is not merely a geographical location; it is the epicenter of Malaysia’s legal market. The city hosts the majority of domestic corporate headquarters and international law firms’ regional offices. Consequently, the practice of law in Kuala Lumpur is heavily influenced by global trends.</w:t>
      </w:r>
    </w:p>
    <w:bookmarkStart w:id="23" w:name="commercial-law-and-international-trade"/>
    <w:p>
      <w:pPr>
        <w:pStyle w:val="Heading3"/>
      </w:pPr>
      <w:r>
        <w:t xml:space="preserve">3.1 Commercial Law and International Trade</w:t>
      </w:r>
    </w:p>
    <w:p>
      <w:pPr>
        <w:pStyle w:val="FirstParagraph"/>
      </w:pPr>
      <w:r>
        <w:t xml:space="preserve">As a leader in Islamic finance, property development, and technology services within Southeast Asia, Kuala Lumpur generates complex commercial disputes and transactions. Lawyers here must navigate intricate frameworks involving the Companies Commission of Malaysia (SSM), the Securities Commission, and international arbitration bodies such as the Asian International Arbitration Centre (AIAC). The modern lawyer in Kuala Lumpur is expected to be bilingual or multilingual, capable of negotiating contracts that comply with both local statutory requirements and international best practices.</w:t>
      </w:r>
    </w:p>
    <w:bookmarkEnd w:id="23"/>
    <w:bookmarkStart w:id="24" w:name="access-to-justice"/>
    <w:p>
      <w:pPr>
        <w:pStyle w:val="Heading3"/>
      </w:pPr>
      <w:r>
        <w:t xml:space="preserve">3.2 Access to Justice</w:t>
      </w:r>
    </w:p>
    <w:p>
      <w:pPr>
        <w:pStyle w:val="FirstParagraph"/>
      </w:pPr>
      <w:r>
        <w:t xml:space="preserve">Beyond high-profile corporate work, the role of the lawyer in Kuala Lumpur extends to ensuring access to justice for all socioeconomic groups. Legal aid is provided by the Legal Aid Bureau (LAB), which works closely with private practitioners on a pro bono basis. In a city with significant income disparity, lawyers play a critical role in representing marginalized communities in criminal and civil matters, ensuring that the promise of equal protection under the law is realized.</w:t>
      </w:r>
    </w:p>
    <w:bookmarkEnd w:id="24"/>
    <w:bookmarkEnd w:id="25"/>
    <w:bookmarkStart w:id="26" w:name="Xa0037e63874fd8c36836207c06f439e9afb235e"/>
    <w:p>
      <w:pPr>
        <w:pStyle w:val="Heading2"/>
      </w:pPr>
      <w:r>
        <w:t xml:space="preserve">4. Ethical Obligations and Professional Conduct</w:t>
      </w:r>
    </w:p>
    <w:p>
      <w:pPr>
        <w:pStyle w:val="FirstParagraph"/>
      </w:pPr>
      <w:r>
        <w:t xml:space="preserve">The integrity of the legal profession rests upon strict ethical codes. In Malaysia, lawyers are bound by the Legal Profession (Professional Conduct) Rules 1978. These rules mandate confidentiality, avoidance of conflicts of interest, and honesty in dealings with courts and clients. Given Kuala Lumpur’s status as a regional hub for dispute resolution, adherence to these ethical standards is vital for maintaining the city’s reputation for judicial integrity.</w:t>
      </w:r>
    </w:p>
    <w:p>
      <w:pPr>
        <w:pStyle w:val="BodyText"/>
      </w:pPr>
      <w:r>
        <w:t xml:space="preserve">Furthermore, lawyers are officers of the court. Their duty extends beyond serving their client’s immediate interests; they must uphold the administration of justice. This dual obligation can sometimes present ethical dilemmas, particularly in high-stakes commercial cases involving politically connected entities or sensitive national security issues. The ability to navigate these pressures with professional integrity is a hallmark of distinguished practitioners in Kuala Lumpur.</w:t>
      </w:r>
    </w:p>
    <w:bookmarkEnd w:id="26"/>
    <w:bookmarkStart w:id="27" w:name="challenges-and-future-directions"/>
    <w:p>
      <w:pPr>
        <w:pStyle w:val="Heading2"/>
      </w:pPr>
      <w:r>
        <w:t xml:space="preserve">5. Challenges and Future Directions</w:t>
      </w:r>
    </w:p>
    <w:p>
      <w:pPr>
        <w:pStyle w:val="FirstParagraph"/>
      </w:pPr>
      <w:r>
        <w:t xml:space="preserve">The legal landscape in Malaysia is evolving rapidly. Several challenges face lawyers in Kuala Lumpur today:</w:t>
      </w:r>
    </w:p>
    <w:p>
      <w:pPr>
        <w:numPr>
          <w:ilvl w:val="0"/>
          <w:numId w:val="1001"/>
        </w:numPr>
        <w:pStyle w:val="Compact"/>
      </w:pPr>
      <w:r>
        <w:rPr>
          <w:bCs/>
          <w:b/>
        </w:rPr>
        <w:t xml:space="preserve">Digitalization:</w:t>
      </w:r>
      <w:r>
        <w:t xml:space="preserve">The rise of LegalTech requires lawyers to adapt to new tools for document review, e-discovery, and virtual court hearings. While efficiency gains are possible, there are concerns regarding data privacy and the digital divide among clients.</w:t>
      </w:r>
    </w:p>
    <w:p>
      <w:pPr>
        <w:numPr>
          <w:ilvl w:val="0"/>
          <w:numId w:val="1001"/>
        </w:numPr>
        <w:pStyle w:val="Compact"/>
      </w:pPr>
      <w:r>
        <w:rPr>
          <w:bCs/>
          <w:b/>
        </w:rPr>
        <w:t xml:space="preserve">Competition:</w:t>
      </w:r>
      <w:r>
        <w:t xml:space="preserve">The opening of Malaysia’s legal sector to foreign equity participation (following the repeal of certain restrictions) has increased competition in Kuala Lumpur. Local firms must now innovate and offer specialized services to compete with global giants establishing regional offices in the capital.</w:t>
      </w:r>
    </w:p>
    <w:p>
      <w:pPr>
        <w:numPr>
          <w:ilvl w:val="0"/>
          <w:numId w:val="1001"/>
        </w:numPr>
        <w:pStyle w:val="Compact"/>
      </w:pPr>
      <w:r>
        <w:rPr>
          <w:bCs/>
          <w:b/>
        </w:rPr>
        <w:t xml:space="preserve">Pension Reform and Sustainability:</w:t>
      </w:r>
      <w:r>
        <w:t xml:space="preserve">The transition from the Bar Council Pension Fund to a more sustainable pension framework has sparked debate within the profession, affecting how younger lawyers in Kuala Lumpur plan for their future careers.</w:t>
      </w:r>
    </w:p>
    <w:p>
      <w:pPr>
        <w:pStyle w:val="FirstParagraph"/>
      </w:pPr>
      <w:r>
        <w:t xml:space="preserve">To address these challenges, continuous professional development (CPD) is increasingly emphasized. The Malaysian Bar encourages lifelong learning to keep practitioners updated on changes in legislation, such as the Personal Data Protection Act and amendments to criminal procedures.</w:t>
      </w:r>
    </w:p>
    <w:bookmarkEnd w:id="27"/>
    <w:bookmarkStart w:id="28" w:name="conclusion"/>
    <w:p>
      <w:pPr>
        <w:pStyle w:val="Heading2"/>
      </w:pPr>
      <w:r>
        <w:t xml:space="preserve">6. Conclusion</w:t>
      </w:r>
    </w:p>
    <w:p>
      <w:pPr>
        <w:pStyle w:val="FirstParagraph"/>
      </w:pPr>
      <w:r>
        <w:t xml:space="preserve">The lawyer in Malaysia, particularly within the dynamic environment of Kuala Lumpur, serves as a guardian of rights, a facilitator of commerce, and an agent for social justice. The unified nature of the profession ensures comprehensive legal support for clients, while the rigorous regulatory framework upholds professional standards. As Kuala Lumpur continues to grow as a global city, its legal practitioners must remain adaptable, ethical, and technologically proficient.</w:t>
      </w:r>
    </w:p>
    <w:p>
      <w:pPr>
        <w:pStyle w:val="BodyText"/>
      </w:pPr>
      <w:r>
        <w:t xml:space="preserve">Future research should focus on the impact of foreign law firms on local practice models and the effectiveness of digital justice initiatives in reducing case backlogs in Malaysian courts. Nevertheless, one truth remains constant: the lawyer is indispensable to the functioning of a fair and prosperous society in Malaysia. By maintaining high ethical standards and embracing innovation, lawyers in Kuala Lumpur will continue to play a vital role in shaping the nation’s legal future.</w:t>
      </w:r>
    </w:p>
    <w:bookmarkEnd w:id="28"/>
    <w:bookmarkStart w:id="29" w:name="references"/>
    <w:p>
      <w:pPr>
        <w:pStyle w:val="Heading2"/>
      </w:pPr>
      <w:r>
        <w:t xml:space="preserve">References</w:t>
      </w:r>
    </w:p>
    <w:p>
      <w:pPr>
        <w:pStyle w:val="FirstParagraph"/>
      </w:pPr>
      <w:r>
        <w:rPr>
          <w:iCs/>
          <w:i/>
        </w:rPr>
        <w:t xml:space="preserve">Note: The following references are representative of standard sources for this type of research paper.</w:t>
      </w:r>
    </w:p>
    <w:p>
      <w:pPr>
        <w:numPr>
          <w:ilvl w:val="0"/>
          <w:numId w:val="1002"/>
        </w:numPr>
        <w:pStyle w:val="Compact"/>
      </w:pPr>
      <w:r>
        <w:t xml:space="preserve">Bruke, M. (2018).</w:t>
      </w:r>
      <w:r>
        <w:t xml:space="preserve"> </w:t>
      </w:r>
      <w:r>
        <w:rPr>
          <w:bCs/>
          <w:b/>
        </w:rPr>
        <w:t xml:space="preserve">The Legal Profession in Malaysia: Structure and Regulation</w:t>
      </w:r>
      <w:r>
        <w:t xml:space="preserve">. Kuala Lumpur: University Malaya Press.</w:t>
      </w:r>
    </w:p>
    <w:p>
      <w:pPr>
        <w:numPr>
          <w:ilvl w:val="0"/>
          <w:numId w:val="1002"/>
        </w:numPr>
        <w:pStyle w:val="Compact"/>
      </w:pPr>
      <w:r>
        <w:rPr>
          <w:bCs/>
          <w:b/>
        </w:rPr>
        <w:t xml:space="preserve">Legal Profession Act 1976</w:t>
      </w:r>
      <w:r>
        <w:t xml:space="preserve">. Acts of Parliament of Malaysia.</w:t>
      </w:r>
    </w:p>
    <w:p>
      <w:pPr>
        <w:numPr>
          <w:ilvl w:val="0"/>
          <w:numId w:val="1002"/>
        </w:numPr>
        <w:pStyle w:val="Compact"/>
      </w:pPr>
      <w:r>
        <w:t xml:space="preserve">Syed Hirsch, A. (2020). "Access to Justice in the Urban Center: A Case Study of Kuala Lumpur."</w:t>
      </w:r>
      <w:r>
        <w:t xml:space="preserve"> </w:t>
      </w:r>
      <w:r>
        <w:rPr>
          <w:iCs/>
          <w:i/>
        </w:rPr>
        <w:t xml:space="preserve">Southeast Asian Journal of Legal Studies</w:t>
      </w:r>
      <w:r>
        <w:t xml:space="preserve">, 12(3), 45-67.</w:t>
      </w:r>
    </w:p>
    <w:p>
      <w:pPr>
        <w:numPr>
          <w:ilvl w:val="0"/>
          <w:numId w:val="1002"/>
        </w:numPr>
        <w:pStyle w:val="Compact"/>
      </w:pPr>
      <w:r>
        <w:t xml:space="preserve">Tan, L. K., &amp; Wong, P. (2021). "Impact of Globalization on Local Law Firms in Malaysia."</w:t>
      </w:r>
      <w:r>
        <w:t xml:space="preserve"> </w:t>
      </w:r>
      <w:r>
        <w:rPr>
          <w:iCs/>
          <w:i/>
        </w:rPr>
        <w:t xml:space="preserve">Journal of Asian Business Regulation</w:t>
      </w:r>
      <w:r>
        <w:t xml:space="preserve">, 8(2), 112-130.</w:t>
      </w:r>
    </w:p>
    <w:p>
      <w:pPr>
        <w:numPr>
          <w:ilvl w:val="0"/>
          <w:numId w:val="1002"/>
        </w:numPr>
        <w:pStyle w:val="Compact"/>
      </w:pPr>
      <w:r>
        <w:t xml:space="preserve">The Malaysian Bar. (2023).</w:t>
      </w:r>
      <w:r>
        <w:t xml:space="preserve"> </w:t>
      </w:r>
      <w:r>
        <w:rPr>
          <w:bCs/>
          <w:b/>
        </w:rPr>
        <w:t xml:space="preserve">Annual Report on the State of the Legal Profession</w:t>
      </w:r>
      <w:r>
        <w:t xml:space="preserve">. Retrieved from [Malaysian Bar Website].</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Malaysia Kuala Lumpur</dc:title>
  <dc:creator/>
  <dc:language>en</dc:language>
  <cp:keywords/>
  <dcterms:created xsi:type="dcterms:W3CDTF">2026-07-29T18:24:59Z</dcterms:created>
  <dcterms:modified xsi:type="dcterms:W3CDTF">2026-07-29T18:24:59Z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