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Complexity</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Netherlands</w:t>
      </w:r>
      <w:r>
        <w:t xml:space="preserve"> </w:t>
      </w:r>
      <w:r>
        <w:t xml:space="preserve">Amsterdam</w:t>
      </w:r>
    </w:p>
    <w:bookmarkStart w:id="32" w:name="X88bfae23f70f11fe876cbc96f48294e7c1cea9e"/>
    <w:p>
      <w:pPr>
        <w:pStyle w:val="Heading1"/>
      </w:pPr>
      <w:r>
        <w:t xml:space="preserve">The Role and Complexity of the Lawyer in Netherlands Amsterdam</w:t>
      </w:r>
    </w:p>
    <w:bookmarkStart w:id="20" w:name="abstract"/>
    <w:p>
      <w:pPr>
        <w:pStyle w:val="Heading2"/>
      </w:pPr>
      <w:r>
        <w:t xml:space="preserve">Abstract</w:t>
      </w:r>
    </w:p>
    <w:p>
      <w:pPr>
        <w:pStyle w:val="FirstParagraph"/>
      </w:pPr>
      <w:r>
        <w:t xml:space="preserve">This research paper explores the multifaceted role of the</w:t>
      </w:r>
      <w:r>
        <w:t xml:space="preserve"> </w:t>
      </w:r>
      <w:r>
        <w:rPr>
          <w:bCs/>
          <w:b/>
        </w:rPr>
        <w:t xml:space="preserve">Lawyer</w:t>
      </w:r>
      <w:r>
        <w:rPr>
          <w:vertAlign w:val="superscript"/>
        </w:rPr>
        <w:t xml:space="preserve">[1]</w:t>
      </w:r>
      <w:r>
        <w:t xml:space="preserve">, particularly within the unique legal ecosystem of</w:t>
      </w:r>
      <w:r>
        <w:t xml:space="preserve"> </w:t>
      </w:r>
      <w:r>
        <w:rPr>
          <w:bCs/>
          <w:b/>
        </w:rPr>
        <w:t xml:space="preserve">Netherlands Amsterdam</w:t>
      </w:r>
      <w:r>
        <w:t xml:space="preserve">. As a global hub for finance, international trade, and digital innovation, Amsterdam presents distinct challenges and opportunities for legal practitioners. This document examines the historical context of Dutch law, the specific regulatory framework governing attorneys at law in Amsterdam, and the evolving demands placed on professionals navigating this jurisdiction.</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Netherlands Amsterdam</w:t>
      </w:r>
      <w:r>
        <w:t xml:space="preserve">, often referred to simply as Amsterdam or part of the broader Randstad region, serves as the commercial heart of The Netherlands. It is a jurisdiction where civil law traditions intersect with intense internationalization. For any legal professional practicing in this area, understanding the dual nature of their role—as both a guardian of local statutory rights and an intermediary for global corporate interests—is paramount.</w:t>
      </w:r>
    </w:p>
    <w:p>
      <w:pPr>
        <w:pStyle w:val="BodyText"/>
      </w:pPr>
      <w:r>
        <w:t xml:space="preserve">In</w:t>
      </w:r>
      <w:r>
        <w:t xml:space="preserve"> </w:t>
      </w:r>
      <w:r>
        <w:rPr>
          <w:bCs/>
          <w:b/>
        </w:rPr>
        <w:t xml:space="preserve">Netherlands Amsterdam</w:t>
      </w:r>
      <w:r>
        <w:t xml:space="preserve">, the demand for specialized legal expertise has surged due to the city’s status as a headquarters location for numerous Multinational Corporations (MNCs), tech startups, and international arbitration bodies. Consequently, the modern</w:t>
      </w:r>
      <w:r>
        <w:t xml:space="preserve"> </w:t>
      </w:r>
      <w:r>
        <w:rPr>
          <w:bCs/>
          <w:b/>
        </w:rPr>
        <w:t xml:space="preserve">Lawyer</w:t>
      </w:r>
      <w:r>
        <w:t xml:space="preserve"> </w:t>
      </w:r>
      <w:r>
        <w:t xml:space="preserve">in this region must possess not only rigorous academic training but also linguistic proficiency and cross-cultural competency.</w:t>
      </w:r>
    </w:p>
    <w:bookmarkEnd w:id="21"/>
    <w:bookmarkStart w:id="22" w:name="the-legal-framework-civil-law-tradition"/>
    <w:p>
      <w:pPr>
        <w:pStyle w:val="Heading2"/>
      </w:pPr>
      <w:r>
        <w:t xml:space="preserve">2. The Legal Framework: Civil Law Tradition</w:t>
      </w:r>
    </w:p>
    <w:p>
      <w:pPr>
        <w:pStyle w:val="FirstParagraph"/>
      </w:pPr>
      <w:r>
        <w:t xml:space="preserve">To understand the practice of law in</w:t>
      </w:r>
      <w:r>
        <w:t xml:space="preserve"> </w:t>
      </w:r>
      <w:r>
        <w:rPr>
          <w:bCs/>
          <w:b/>
        </w:rPr>
        <w:t xml:space="preserve">Netherlands Amsterdam</w:t>
      </w:r>
      <w:r>
        <w:t xml:space="preserve">, one must first appreciate the underlying legal system. The Netherlands operates under a civil law system, heavily influenced by the Napoleonic Code and Roman-Dutch law. This contrasts with common law jurisdictions like the United Kingdom or the United States.</w:t>
      </w:r>
    </w:p>
    <w:p>
      <w:pPr>
        <w:pStyle w:val="BodyText"/>
      </w:pPr>
      <w:r>
        <w:t xml:space="preserve">For a</w:t>
      </w:r>
      <w:r>
        <w:t xml:space="preserve"> </w:t>
      </w:r>
      <w:r>
        <w:rPr>
          <w:bCs/>
          <w:b/>
        </w:rPr>
        <w:t xml:space="preserve">Lawyer</w:t>
      </w:r>
      <w:r>
        <w:t xml:space="preserve"> </w:t>
      </w:r>
      <w:r>
        <w:t xml:space="preserve">practicing in this region, this means that case law (precedent) is less binding than it is in common law systems. Instead, the primary source of authority lies in written codes and statutes. The Civil Code (</w:t>
      </w:r>
      <w:r>
        <w:rPr>
          <w:iCs/>
          <w:i/>
        </w:rPr>
        <w:t xml:space="preserve">Burgerlijk Wetboek</w:t>
      </w:r>
      <w:r>
        <w:t xml:space="preserve">) serves as the cornerstone of private law. However, practitioners must remain agile, as</w:t>
      </w:r>
      <w:r>
        <w:t xml:space="preserve"> </w:t>
      </w:r>
      <w:r>
        <w:rPr>
          <w:bCs/>
          <w:b/>
        </w:rPr>
        <w:t xml:space="preserve">Netherlands Amsterdam</w:t>
      </w:r>
      <w:r>
        <w:t xml:space="preserve"> </w:t>
      </w:r>
      <w:r>
        <w:t xml:space="preserve">frequently updates its legislation to align with European Union directives and global economic trends.</w:t>
      </w:r>
    </w:p>
    <w:bookmarkEnd w:id="22"/>
    <w:bookmarkStart w:id="23" w:name="X217c2d4deb4b3bdb664741891f83691d4c9332e"/>
    <w:p>
      <w:pPr>
        <w:pStyle w:val="Heading2"/>
      </w:pPr>
      <w:r>
        <w:t xml:space="preserve">3. Regulatory Oversight: The Nederlandse Orde van Advocaten (NOVA)</w:t>
      </w:r>
    </w:p>
    <w:p>
      <w:pPr>
        <w:pStyle w:val="FirstParagraph"/>
      </w:pPr>
      <w:r>
        <w:t xml:space="preserve">The professional conduct of every</w:t>
      </w:r>
      <w:r>
        <w:t xml:space="preserve"> </w:t>
      </w:r>
      <w:r>
        <w:rPr>
          <w:bCs/>
          <w:b/>
        </w:rPr>
        <w:t xml:space="preserve">Lawyer</w:t>
      </w:r>
      <w:r>
        <w:rPr>
          <w:vertAlign w:val="superscript"/>
        </w:rPr>
        <w:t xml:space="preserve">[1]</w:t>
      </w:r>
      <w:r>
        <w:t xml:space="preserve"> </w:t>
      </w:r>
      <w:r>
        <w:t xml:space="preserve">in</w:t>
      </w:r>
      <w:r>
        <w:t xml:space="preserve"> </w:t>
      </w:r>
      <w:r>
        <w:rPr>
          <w:bCs/>
          <w:b/>
        </w:rPr>
        <w:t xml:space="preserve">Netherlands Amsterdam</w:t>
      </w:r>
      <w:r>
        <w:t xml:space="preserve">, and indeed the entire Netherlands, is regulated by the Nederlandse Orde van Advocaten (NOVA). Unlike some jurisdictions where regulation is decentralized, NOVA provides a unified body for ethical standards, continuing legal education (CLE), and disciplinary actions.</w:t>
      </w:r>
    </w:p>
    <w:p>
      <w:pPr>
        <w:pStyle w:val="BodyText"/>
      </w:pPr>
      <w:r>
        <w:t xml:space="preserve">Key aspects of this regulatory environment include:</w:t>
      </w:r>
    </w:p>
    <w:p>
      <w:pPr>
        <w:numPr>
          <w:ilvl w:val="0"/>
          <w:numId w:val="1001"/>
        </w:numPr>
        <w:pStyle w:val="Compact"/>
      </w:pPr>
      <w:r>
        <w:rPr>
          <w:bCs/>
          <w:b/>
        </w:rPr>
        <w:t xml:space="preserve">Mandatory Registration:</w:t>
      </w:r>
      <w:r>
        <w:rPr>
          <w:vertAlign w:val="superscript"/>
        </w:rPr>
        <w:t xml:space="preserve">[2]</w:t>
      </w:r>
      <w:r>
        <w:t xml:space="preserve">No individual may call themselves a lawyer or represent clients in higher courts without being registered in the national roll of advocates.</w:t>
      </w:r>
    </w:p>
    <w:p>
      <w:pPr>
        <w:numPr>
          <w:ilvl w:val="0"/>
          <w:numId w:val="1001"/>
        </w:numPr>
        <w:pStyle w:val="Compact"/>
      </w:pPr>
      <w:r>
        <w:rPr>
          <w:bCs/>
          <w:b/>
        </w:rPr>
        <w:t xml:space="preserve">Ethical Obligations:</w:t>
      </w:r>
      <w:r>
        <w:rPr>
          <w:vertAlign w:val="superscript"/>
        </w:rPr>
        <w:t xml:space="preserve">[2]</w:t>
      </w:r>
      <w:r>
        <w:t xml:space="preserve">Attorneys must adhere to strict rules regarding confidentiality, conflict of interest, and independence.</w:t>
      </w:r>
    </w:p>
    <w:p>
      <w:pPr>
        <w:numPr>
          <w:ilvl w:val="0"/>
          <w:numId w:val="1001"/>
        </w:numPr>
        <w:pStyle w:val="Compact"/>
      </w:pPr>
      <w:r>
        <w:rPr>
          <w:bCs/>
          <w:b/>
        </w:rPr>
        <w:t xml:space="preserve">Linguistic Requirements:</w:t>
      </w:r>
      <w:r>
        <w:rPr>
          <w:vertAlign w:val="superscript"/>
        </w:rPr>
        <w:t xml:space="preserve">[3]</w:t>
      </w:r>
      <w:r>
        <w:t xml:space="preserve">While many lawyers in Amsterdam practice in English, proficiency in Dutch remains essential for certain aspects of litigation and interaction with local administrative bodies.</w:t>
      </w:r>
    </w:p>
    <w:bookmarkEnd w:id="23"/>
    <w:bookmarkStart w:id="27" w:name="Xf12261e6ceacba3aeb97302174487ea164192a1"/>
    <w:p>
      <w:pPr>
        <w:pStyle w:val="Heading2"/>
      </w:pPr>
      <w:r>
        <w:t xml:space="preserve">4. Specialization and Market Dynamics in Amsterdam</w:t>
      </w:r>
    </w:p>
    <w:p>
      <w:pPr>
        <w:pStyle w:val="FirstParagraph"/>
      </w:pPr>
      <w:r>
        <w:t xml:space="preserve">The legal market in</w:t>
      </w:r>
      <w:r>
        <w:t xml:space="preserve"> </w:t>
      </w:r>
      <w:r>
        <w:rPr>
          <w:bCs/>
          <w:b/>
        </w:rPr>
        <w:t xml:space="preserve">Netherlands Amsterdam</w:t>
      </w:r>
      <w:r>
        <w:rPr>
          <w:vertAlign w:val="superscript"/>
        </w:rPr>
        <w:t xml:space="preserve">[4]</w:t>
      </w:r>
      <w:r>
        <w:t xml:space="preserve"> </w:t>
      </w:r>
      <w:r>
        <w:t xml:space="preserve">is highly competitive and specialized. Generalist practices are increasingly rare among high-end firms catering to international clients. Instead, the market favors specialists in several key areas:</w:t>
      </w:r>
    </w:p>
    <w:bookmarkStart w:id="24" w:name="international-business-and-corporate-law"/>
    <w:p>
      <w:pPr>
        <w:pStyle w:val="Heading3"/>
      </w:pPr>
      <w:r>
        <w:t xml:space="preserve">4.1 International Business and Corporate Law</w:t>
      </w:r>
    </w:p>
    <w:p>
      <w:pPr>
        <w:pStyle w:val="FirstParagraph"/>
      </w:pPr>
      <w:r>
        <w:t xml:space="preserve">Due to the presence of global banks, shipping companies, and tech giants in Amsterdam’s Zuidas business district, corporate lawyers play a pivotal role. Mergers and acquisitions (M&amp;A), cross-border restructuring, and compliance with anti-money laundering (AML) regulations are daily tasks for many practitioners.</w:t>
      </w:r>
    </w:p>
    <w:bookmarkEnd w:id="24"/>
    <w:bookmarkStart w:id="25" w:name="immigration-and-asylum-law"/>
    <w:p>
      <w:pPr>
        <w:pStyle w:val="Heading3"/>
      </w:pPr>
      <w:r>
        <w:t xml:space="preserve">4.2 Immigration and Asylum Law</w:t>
      </w:r>
    </w:p>
    <w:p>
      <w:pPr>
        <w:pStyle w:val="FirstParagraph"/>
      </w:pPr>
      <w:r>
        <w:rPr>
          <w:bCs/>
          <w:b/>
        </w:rPr>
        <w:t xml:space="preserve">Netherlands Amsterdam</w:t>
      </w:r>
      <w:r>
        <w:rPr>
          <w:vertAlign w:val="superscript"/>
        </w:rPr>
        <w:t xml:space="preserve">[4]</w:t>
      </w:r>
      <w:r>
        <w:t xml:space="preserve"> </w:t>
      </w:r>
      <w:r>
        <w:t xml:space="preserve">is a primary entry point for migrants and refugees seeking asylum in the EU. Lawyers specializing in immigration law face complex procedural hurdles, often dealing with the Central Office for Immigration and Naturalization (IND). This area of practice requires deep empathy alongside technical legal knowledge.</w:t>
      </w:r>
    </w:p>
    <w:bookmarkEnd w:id="25"/>
    <w:bookmarkStart w:id="26" w:name="intellectual-property-and-tech-law"/>
    <w:p>
      <w:pPr>
        <w:pStyle w:val="Heading3"/>
      </w:pPr>
      <w:r>
        <w:t xml:space="preserve">4.3 Intellectual Property and Tech Law</w:t>
      </w:r>
    </w:p>
    <w:p>
      <w:pPr>
        <w:pStyle w:val="FirstParagraph"/>
      </w:pPr>
      <w:r>
        <w:t xml:space="preserve">With Amsterdam emerging as a European tech hub, intellectual property (IP) law has become increasingly vital. Lawyers must navigate the nuances of data privacy under the General Data Protection Regulation (GDPR), copyright issues in digital media, and patent disputes involving software and AI.</w:t>
      </w:r>
    </w:p>
    <w:bookmarkEnd w:id="26"/>
    <w:bookmarkEnd w:id="27"/>
    <w:bookmarkStart w:id="28" w:name="the-impact-of-european-union-law"/>
    <w:p>
      <w:pPr>
        <w:pStyle w:val="Heading2"/>
      </w:pPr>
      <w:r>
        <w:t xml:space="preserve">5. The Impact of European Union Law</w:t>
      </w:r>
    </w:p>
    <w:p>
      <w:pPr>
        <w:pStyle w:val="FirstParagraph"/>
      </w:pPr>
      <w:r>
        <w:t xml:space="preserve">A critical dimension for any</w:t>
      </w:r>
      <w:r>
        <w:t xml:space="preserve"> </w:t>
      </w:r>
      <w:r>
        <w:rPr>
          <w:bCs/>
          <w:b/>
        </w:rPr>
        <w:t xml:space="preserve">Lawyer</w:t>
      </w:r>
      <w:r>
        <w:rPr>
          <w:vertAlign w:val="superscript"/>
        </w:rPr>
        <w:t xml:space="preserve">[1]</w:t>
      </w:r>
      <w:r>
        <w:t xml:space="preserve"> </w:t>
      </w:r>
      <w:r>
        <w:t xml:space="preserve">practicing in</w:t>
      </w:r>
      <w:r>
        <w:t xml:space="preserve"> </w:t>
      </w:r>
      <w:r>
        <w:rPr>
          <w:bCs/>
          <w:b/>
        </w:rPr>
        <w:t xml:space="preserve">Netherlands Amsterdam</w:t>
      </w:r>
      <w:r>
        <w:rPr>
          <w:vertAlign w:val="superscript"/>
        </w:rPr>
        <w:t xml:space="preserve">[4]</w:t>
      </w:r>
      <w:r>
        <w:t xml:space="preserve"> </w:t>
      </w:r>
      <w:r>
        <w:t xml:space="preserve">is the supremacy of EU law. As a member state, Dutch domestic law must conform to European directives and regulations. This creates a complex layer of jurisprudence where lawyers often must argue cases before national courts that are simultaneously interpreting EU treaties.</w:t>
      </w:r>
    </w:p>
    <w:p>
      <w:pPr>
        <w:pStyle w:val="BodyText"/>
      </w:pPr>
      <w:r>
        <w:t xml:space="preserve">Furthermore, the proximity to The Hague—the international city of peace and justice—means that many Amsterdam-based</w:t>
      </w:r>
      <w:r>
        <w:t xml:space="preserve"> </w:t>
      </w:r>
      <w:r>
        <w:rPr>
          <w:bCs/>
          <w:b/>
        </w:rPr>
        <w:t xml:space="preserve">Lawyer</w:t>
      </w:r>
      <w:r>
        <w:rPr>
          <w:vertAlign w:val="superscript"/>
        </w:rPr>
        <w:t xml:space="preserve">[1]</w:t>
      </w:r>
      <w:r>
        <w:t xml:space="preserve">s collaborate with institutions like the International Court of Justice or arbitrate commercial disputes under the auspices of international bodies. The interplay between local Amsterdam court proceedings and supranational legal frameworks adds significant depth to the profession.</w:t>
      </w:r>
    </w:p>
    <w:bookmarkEnd w:id="28"/>
    <w:bookmarkStart w:id="29" w:name="X73fb0b672221249a4ab2aac70372fec0b7d214c"/>
    <w:p>
      <w:pPr>
        <w:pStyle w:val="Heading2"/>
      </w:pPr>
      <w:r>
        <w:t xml:space="preserve">6. Challenges Facing Modern Legal Practitioners</w:t>
      </w:r>
    </w:p>
    <w:p>
      <w:pPr>
        <w:pStyle w:val="FirstParagraph"/>
      </w:pPr>
      <w:r>
        <w:t xml:space="preserve">The role of the</w:t>
      </w:r>
      <w:r>
        <w:t xml:space="preserve"> </w:t>
      </w:r>
      <w:r>
        <w:rPr>
          <w:bCs/>
          <w:b/>
        </w:rPr>
        <w:t xml:space="preserve">Lawyer</w:t>
      </w:r>
      <w:r>
        <w:rPr>
          <w:vertAlign w:val="superscript"/>
        </w:rPr>
        <w:t xml:space="preserve">[1]</w:t>
      </w:r>
      <w:r>
        <w:t xml:space="preserve"> </w:t>
      </w:r>
      <w:r>
        <w:t xml:space="preserve">is not without its challenges in</w:t>
      </w:r>
      <w:r>
        <w:t xml:space="preserve"> </w:t>
      </w:r>
      <w:r>
        <w:rPr>
          <w:bCs/>
          <w:b/>
        </w:rPr>
        <w:t xml:space="preserve">Netherlands Amsterdam</w:t>
      </w:r>
      <w:r>
        <w:rPr>
          <w:vertAlign w:val="superscript"/>
        </w:rPr>
        <w:t xml:space="preserve">[4]</w:t>
      </w:r>
      <w:r>
        <w:t xml:space="preserve">.</w:t>
      </w:r>
    </w:p>
    <w:p>
      <w:pPr>
        <w:numPr>
          <w:ilvl w:val="0"/>
          <w:numId w:val="1002"/>
        </w:numPr>
        <w:pStyle w:val="Compact"/>
      </w:pPr>
      <w:r>
        <w:rPr>
          <w:bCs/>
          <w:b/>
        </w:rPr>
        <w:t xml:space="preserve">Digitalization:</w:t>
      </w:r>
      <w:r>
        <w:t xml:space="preserve">The Dutch government has aggressively pursued digitalization in the justice system. Lawyers must adapt to e-filing systems, virtual hearings, and data-driven legal research tools.</w:t>
      </w:r>
    </w:p>
    <w:p>
      <w:pPr>
        <w:numPr>
          <w:ilvl w:val="0"/>
          <w:numId w:val="1002"/>
        </w:numPr>
        <w:pStyle w:val="Compact"/>
      </w:pPr>
      <w:r>
        <w:rPr>
          <w:bCs/>
          <w:b/>
        </w:rPr>
        <w:t xml:space="preserve">Bureaucratic Complexity:</w:t>
      </w:r>
      <w:r>
        <w:t xml:space="preserve">Navigating the administrative bureaucracy of Dutch municipalities (Gemeenten) and federal agencies can be time-consuming and requires meticulous attention to detail.</w:t>
      </w:r>
    </w:p>
    <w:p>
      <w:pPr>
        <w:numPr>
          <w:ilvl w:val="0"/>
          <w:numId w:val="1002"/>
        </w:numPr>
        <w:pStyle w:val="Compact"/>
      </w:pPr>
      <w:r>
        <w:rPr>
          <w:bCs/>
          <w:b/>
        </w:rPr>
        <w:t xml:space="preserve">Cultural Nuance:</w:t>
      </w:r>
      <w:r>
        <w:t xml:space="preserve">In a diverse city like Amsterdam, understanding cultural contexts is essential for effective client counseling, particularly in family law and criminal defense.</w:t>
      </w:r>
    </w:p>
    <w:bookmarkEnd w:id="29"/>
    <w:bookmarkStart w:id="30" w:name="conclusion"/>
    <w:p>
      <w:pPr>
        <w:pStyle w:val="Heading2"/>
      </w:pPr>
      <w:r>
        <w:t xml:space="preserve">7. Conclusion</w:t>
      </w:r>
    </w:p>
    <w:p>
      <w:pPr>
        <w:pStyle w:val="FirstParagraph"/>
      </w:pPr>
      <w:r>
        <w:t xml:space="preserve">In conclusion, the practice of law in</w:t>
      </w:r>
      <w:r>
        <w:t xml:space="preserve"> </w:t>
      </w:r>
      <w:r>
        <w:rPr>
          <w:bCs/>
          <w:b/>
        </w:rPr>
        <w:t xml:space="preserve">Netherlands Amsterdam</w:t>
      </w:r>
      <w:r>
        <w:rPr>
          <w:vertAlign w:val="superscript"/>
        </w:rPr>
        <w:t xml:space="preserve">[4]</w:t>
      </w:r>
    </w:p>
    <w:p>
      <w:pPr>
        <w:pStyle w:val="BodyText"/>
      </w:pPr>
      <w:r>
        <w:t xml:space="preserve">[5]Lawyer</w:t>
      </w:r>
      <w:r>
        <w:rPr>
          <w:vertAlign w:val="subscript"/>
        </w:rPr>
        <w:t xml:space="preserve">[1]</w:t>
      </w:r>
      <w:r>
        <w:t xml:space="preserve"> </w:t>
      </w:r>
      <w:r>
        <w:t xml:space="preserve">in this region is not merely a technician of statutes but often acts as a strategic advisor in a globally connected environment.</w:t>
      </w:r>
    </w:p>
    <w:p>
      <w:pPr>
        <w:pStyle w:val="BodyText"/>
      </w:pPr>
      <w:r>
        <w:t xml:space="preserve">The regulatory oversight by NOVA ensures high ethical standards, while the unique position of Amsterdam within the EU legal landscape demands continuous learning and adaptation. As</w:t>
      </w:r>
      <w:r>
        <w:t xml:space="preserve"> </w:t>
      </w:r>
      <w:r>
        <w:rPr>
          <w:bCs/>
          <w:b/>
        </w:rPr>
        <w:t xml:space="preserve">Netherlands Amsterdam</w:t>
      </w:r>
      <w:r>
        <w:rPr>
          <w:vertAlign w:val="subscript"/>
        </w:rPr>
        <w:t xml:space="preserve">[4]</w:t>
      </w:r>
      <w:r>
        <w:t xml:space="preserve"> </w:t>
      </w:r>
      <w:r>
        <w:t xml:space="preserve">continues to evolve as a center for innovation and international trade, the role of the</w:t>
      </w:r>
      <w:r>
        <w:t xml:space="preserve"> </w:t>
      </w:r>
      <w:r>
        <w:rPr>
          <w:bCs/>
          <w:b/>
        </w:rPr>
        <w:t xml:space="preserve">Lawyer</w:t>
      </w:r>
      <w:r>
        <w:rPr>
          <w:vertAlign w:val="subscript"/>
        </w:rPr>
        <w:t xml:space="preserve">[1]</w:t>
      </w:r>
      <w:r>
        <w:t xml:space="preserve"> </w:t>
      </w:r>
      <w:r>
        <w:t xml:space="preserve">will remain critical in maintaining order, protecting rights, and facilitating commerce.</w:t>
      </w:r>
    </w:p>
    <w:bookmarkEnd w:id="30"/>
    <w:bookmarkStart w:id="31" w:name="references"/>
    <w:p>
      <w:pPr>
        <w:pStyle w:val="Heading2"/>
      </w:pPr>
      <w:r>
        <w:t xml:space="preserve">References</w:t>
      </w:r>
    </w:p>
    <w:p>
      <w:pPr>
        <w:numPr>
          <w:ilvl w:val="0"/>
          <w:numId w:val="1003"/>
        </w:numPr>
        <w:pStyle w:val="Compact"/>
      </w:pPr>
      <w:r>
        <w:rPr>
          <w:iCs/>
          <w:i/>
        </w:rPr>
        <w:t xml:space="preserve">Dutch Legal Profession Act (Advocatenwet)</w:t>
      </w:r>
      <w:r>
        <w:t xml:space="preserve">. Governing the practice of law in The Netherlands.</w:t>
      </w:r>
    </w:p>
    <w:p>
      <w:pPr>
        <w:numPr>
          <w:ilvl w:val="0"/>
          <w:numId w:val="1003"/>
        </w:numPr>
        <w:pStyle w:val="Compact"/>
      </w:pPr>
      <w:r>
        <w:t xml:space="preserve">Nederlandse Orde van Advocaten (NOVA). "Ethical Rules for the Dutch Bar." Official guidelines on professional conduct.</w:t>
      </w:r>
    </w:p>
    <w:p>
      <w:pPr>
        <w:numPr>
          <w:ilvl w:val="0"/>
          <w:numId w:val="1003"/>
        </w:numPr>
        <w:pStyle w:val="Compact"/>
      </w:pPr>
      <w:r>
        <w:t xml:space="preserve">Ministry of Justice and Security, The Netherlands. "Language Requirements for Legal Practitioners."</w:t>
      </w:r>
    </w:p>
    <w:p>
      <w:pPr>
        <w:numPr>
          <w:ilvl w:val="0"/>
          <w:numId w:val="1003"/>
        </w:numPr>
        <w:pStyle w:val="Compact"/>
      </w:pPr>
      <w:r>
        <w:t xml:space="preserve">Amsterdam Chamber of Commerce (KvK). "Legal Market Trends in the Randstad Region." Annual Reports.</w:t>
      </w:r>
    </w:p>
    <w:p>
      <w:pPr>
        <w:numPr>
          <w:ilvl w:val="0"/>
          <w:numId w:val="1003"/>
        </w:numPr>
        <w:pStyle w:val="Compact"/>
      </w:pPr>
      <w:r>
        <w:t xml:space="preserve">European Court of Justice. Case law influencing Dutch civil litigation procedures.</w:t>
      </w:r>
    </w:p>
    <w:p>
      <w:pPr>
        <w:pStyle w:val="FirstParagraph"/>
      </w:pPr>
      <w:r>
        <w:rPr>
          <w:iCs/>
          <w:i/>
        </w:rPr>
        <w:t xml:space="preserve">This document is intended for informational purposes regarding legal structures in Netherlands Amsterdam and does not constitute specific legal advice. Always consult a qualified Lawyer for individual cases.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Complexity of the Lawyer in Netherlands Amsterdam</dc:title>
  <dc:creator/>
  <dc:language>en</dc:language>
  <cp:keywords/>
  <dcterms:created xsi:type="dcterms:W3CDTF">2026-07-29T14:06:40Z</dcterms:created>
  <dcterms:modified xsi:type="dcterms:W3CDTF">2026-07-29T14:06:40Z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