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Lawyers</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Analysis</w:t>
      </w:r>
    </w:p>
    <w:bookmarkStart w:id="33" w:name="X5b633626ab9d6728ce4908bc30c65fa21eb48b4"/>
    <w:p>
      <w:pPr>
        <w:pStyle w:val="Heading1"/>
      </w:pPr>
      <w:r>
        <w:t xml:space="preserve">The Role and Practice of Lawyers in Turkey Istanbul</w:t>
      </w:r>
      <w:r>
        <w:br/>
      </w:r>
      <w:r>
        <w:t xml:space="preserve">A Comprehensive Analysis of Legal Frameworks and Market Dynamics</w:t>
      </w:r>
    </w:p>
    <w:p>
      <w:pPr>
        <w:pStyle w:val="FirstParagraph"/>
      </w:pPr>
      <w:r>
        <w:rPr>
          <w:bCs/>
          <w:b/>
        </w:rPr>
        <w:t xml:space="preserve">Abstract:</w:t>
      </w:r>
      <w:r>
        <w:br/>
      </w:r>
      <w:r>
        <w:t xml:space="preserve">This research paper examines the multifaceted role of the Lawyer within the specific socio-legal context of Turkey Istanbul. As Turkey's economic engine and a bridge between East and West, Istanbul presents a unique legal landscape characterized by high commercial volume, complex international interactions, and rigorous statutory regulations. This document analyzes the structural requirements for practicing law in this jurisdiction, the impact of recent legislative reforms on attorney-client privileges, and the strategic importance of local counsel in navigating the Turkish judicial system.</w:t>
      </w:r>
    </w:p>
    <w:bookmarkStart w:id="20" w:name="introduction"/>
    <w:p>
      <w:pPr>
        <w:pStyle w:val="Heading2"/>
      </w:pPr>
      <w:r>
        <w:t xml:space="preserve">1. Introduction</w:t>
      </w:r>
    </w:p>
    <w:p>
      <w:pPr>
        <w:pStyle w:val="FirstParagraph"/>
      </w:pPr>
      <w:r>
        <w:t xml:space="preserve">The legal profession serves as a cornerstone of any democratic society, ensuring the rule of law and protecting individual rights against state overreach or private infringement. In Turkey Istanbul, this role is particularly pronounced due to the city's status as a global metropolis hosting over fifteen million residents and serving as the primary hub for international trade in Southeastern Europe and Western Asia. For foreign investors, multinational corporations, and local entities alike, understanding the nuances of how a</w:t>
      </w:r>
      <w:r>
        <w:t xml:space="preserve"> </w:t>
      </w:r>
      <w:r>
        <w:rPr>
          <w:bCs/>
          <w:b/>
        </w:rPr>
        <w:t xml:space="preserve">Lawyer</w:t>
      </w:r>
      <w:r>
        <w:t xml:space="preserve"> </w:t>
      </w:r>
      <w:r>
        <w:t xml:space="preserve">operates within</w:t>
      </w:r>
      <w:r>
        <w:t xml:space="preserve"> </w:t>
      </w:r>
      <w:r>
        <w:rPr>
          <w:bCs/>
          <w:b/>
        </w:rPr>
        <w:t xml:space="preserve">Turkey Istanbul</w:t>
      </w:r>
      <w:r>
        <w:t xml:space="preserve"> </w:t>
      </w:r>
      <w:r>
        <w:t xml:space="preserve">is not merely an academic exercise but a critical component of risk management and strategic planning.</w:t>
      </w:r>
    </w:p>
    <w:p>
      <w:pPr>
        <w:pStyle w:val="BodyText"/>
      </w:pPr>
      <w:r>
        <w:t xml:space="preserve">This paper aims to dissect the professional ecosystem of legal practitioners in Turkey Istanbul. It explores the regulatory bodies governing the profession, such as the Union of Turkish Bar Associations (TTB), and analyzes specific challenges faced by attorneys in a jurisdiction that blends civil law traditions with increasing demands for international compliance standards.</w:t>
      </w:r>
    </w:p>
    <w:bookmarkEnd w:id="20"/>
    <w:bookmarkStart w:id="23" w:name="Xb43e011fda1d014a654739c0729b3c53883e79b"/>
    <w:p>
      <w:pPr>
        <w:pStyle w:val="Heading2"/>
      </w:pPr>
      <w:r>
        <w:t xml:space="preserve">2. The Regulatory Framework: The Union of Turkish Bar Associations</w:t>
      </w:r>
    </w:p>
    <w:p>
      <w:pPr>
        <w:pStyle w:val="FirstParagraph"/>
      </w:pPr>
      <w:r>
        <w:t xml:space="preserve">In</w:t>
      </w:r>
      <w:r>
        <w:t xml:space="preserve"> </w:t>
      </w:r>
      <w:r>
        <w:rPr>
          <w:bCs/>
          <w:b/>
        </w:rPr>
        <w:t xml:space="preserve">Turkey Istanbul</w:t>
      </w:r>
      <w:r>
        <w:t xml:space="preserve">, the practice of law is strictly regulated to ensure ethical standards and professional competence. Every attorney must be registered with a local Bar Association, one of which is situated in Istanbul, known as the İstanbul Barosu. This institution functions under the umbrella of the Union of Turkish Bar Associations (TTB). The TTB mandates that any individual wishing to practice as a</w:t>
      </w:r>
      <w:r>
        <w:t xml:space="preserve"> </w:t>
      </w:r>
      <w:r>
        <w:rPr>
          <w:bCs/>
          <w:b/>
        </w:rPr>
        <w:t xml:space="preserve">Lawyer</w:t>
      </w:r>
      <w:r>
        <w:t xml:space="preserve"> </w:t>
      </w:r>
      <w:r>
        <w:t xml:space="preserve">in Turkey must pass the rigorous national bar examination and complete an apprenticeship period.</w:t>
      </w:r>
    </w:p>
    <w:bookmarkStart w:id="21" w:name="eligibility-and-licensing"/>
    <w:p>
      <w:pPr>
        <w:pStyle w:val="Heading3"/>
      </w:pPr>
      <w:r>
        <w:t xml:space="preserve">2.1 Eligibility and Licensing</w:t>
      </w:r>
    </w:p>
    <w:p>
      <w:pPr>
        <w:pStyle w:val="FirstParagraph"/>
      </w:pPr>
      <w:r>
        <w:t xml:space="preserve">To become a qualified attorney in Turkey, candidates must hold a degree from a recognized law faculty. For foreign lawyers seeking to practice in Istanbul, the path is more restrictive. While foreign attorneys cannot represent clients before Turkish courts directly as litigators, they can provide advisory services on their home country’s law or international law through partnerships with local firms or by establishing liaison offices. This distinction is vital for understanding the market dynamics of legal services in</w:t>
      </w:r>
      <w:r>
        <w:t xml:space="preserve"> </w:t>
      </w:r>
      <w:r>
        <w:rPr>
          <w:bCs/>
          <w:b/>
        </w:rPr>
        <w:t xml:space="preserve">Turkey Istanbul</w:t>
      </w:r>
      <w:r>
        <w:t xml:space="preserve">.</w:t>
      </w:r>
    </w:p>
    <w:bookmarkEnd w:id="21"/>
    <w:bookmarkStart w:id="22" w:name="Xa0037e63874fd8c36836207c06f439e9afb235e"/>
    <w:p>
      <w:pPr>
        <w:pStyle w:val="Heading3"/>
      </w:pPr>
      <w:r>
        <w:t xml:space="preserve">2.2 Ethical Obligations and Professional Conduct</w:t>
      </w:r>
    </w:p>
    <w:p>
      <w:pPr>
        <w:pStyle w:val="FirstParagraph"/>
      </w:pPr>
      <w:r>
        <w:t xml:space="preserve">The TTB enforces a strict code of conduct that governs the behavior of every lawyer practicing in Turkey Istanbul. These regulations cover confidentiality, conflict of interest, fee structures, and advertising standards. The enforcement mechanisms are robust; disciplinary committees at both the local Istanbul Bar Association and the national TTB level have the authority to sanction attorneys ranging from reprimands to disbarment for serious infractions.</w:t>
      </w:r>
    </w:p>
    <w:bookmarkEnd w:id="22"/>
    <w:bookmarkEnd w:id="23"/>
    <w:bookmarkStart w:id="26" w:name="Xe4eaaf3fc21d5aa72fa09715f43d9d5fd8f7ad7"/>
    <w:p>
      <w:pPr>
        <w:pStyle w:val="Heading2"/>
      </w:pPr>
      <w:r>
        <w:t xml:space="preserve">3. The Specialized Role of Lawyers in Commercial Transactions</w:t>
      </w:r>
    </w:p>
    <w:p>
      <w:pPr>
        <w:pStyle w:val="FirstParagraph"/>
      </w:pPr>
      <w:r>
        <w:t xml:space="preserve">Istanbul is not just a cultural capital but also Turkey’s primary financial center. Consequently, the demand for specialized legal expertise in corporate law, banking, and real estate is exceptionally high. A competent Lawyer in this region must possess deep knowledge of the Turkish Code of Obligations and the Turkish Commercial Code.</w:t>
      </w:r>
    </w:p>
    <w:bookmarkStart w:id="24" w:name="foreign-direct-investment-fdi"/>
    <w:p>
      <w:pPr>
        <w:pStyle w:val="Heading3"/>
      </w:pPr>
      <w:r>
        <w:t xml:space="preserve">3.1 Foreign Direct Investment (FDI)</w:t>
      </w:r>
    </w:p>
    <w:p>
      <w:pPr>
        <w:pStyle w:val="FirstParagraph"/>
      </w:pPr>
      <w:r>
        <w:t xml:space="preserve">Turkey Istanbul attracts significant foreign direct investment, particularly in manufacturing, technology, and tourism. Lawyers play a pivotal role in structuring these investments to ensure compliance with local labor laws, tax regulations, and foreign exchange controls. Recent legislative changes aimed at liberalizing the capital account have created new opportunities for legal advisors who can navigate the complexities of repatriating profits and establishing joint ventures.</w:t>
      </w:r>
    </w:p>
    <w:bookmarkEnd w:id="24"/>
    <w:bookmarkStart w:id="25" w:name="real-estate-and-construction-law"/>
    <w:p>
      <w:pPr>
        <w:pStyle w:val="Heading3"/>
      </w:pPr>
      <w:r>
        <w:t xml:space="preserve">3.2 Real Estate and Construction Law</w:t>
      </w:r>
    </w:p>
    <w:p>
      <w:pPr>
        <w:pStyle w:val="FirstParagraph"/>
      </w:pPr>
      <w:r>
        <w:t xml:space="preserve">The real estate sector in Istanbul has seen unprecedented growth, driven by both domestic demand and the citizenship-by-investment program. Lawyers are essential in verifying title deeds (Tapu), conducting due diligence on property history, and ensuring that construction permits adhere to urban transformation laws. Given the geological risks associated with Istanbul, legal counsel also intersects heavily with environmental regulations and building safety standards.</w:t>
      </w:r>
    </w:p>
    <w:bookmarkEnd w:id="25"/>
    <w:bookmarkEnd w:id="26"/>
    <w:bookmarkStart w:id="29" w:name="Xbfca1d768d2995972f37bf1d9b4512990a99785"/>
    <w:p>
      <w:pPr>
        <w:pStyle w:val="Heading2"/>
      </w:pPr>
      <w:r>
        <w:t xml:space="preserve">4. Criminal Defense and Human Rights Challenges</w:t>
      </w:r>
    </w:p>
    <w:p>
      <w:pPr>
        <w:pStyle w:val="FirstParagraph"/>
      </w:pPr>
      <w:r>
        <w:t xml:space="preserve">Beyond civil commerce, the role of a Lawyer in Turkey Istanbul extends significantly into criminal defense and human rights advocacy. The Turkish judicial system has undergone substantial reforms in recent years, aiming to align with European Union accession criteria. However, challenges remain regarding freedom of expression and press freedom.</w:t>
      </w:r>
    </w:p>
    <w:bookmarkStart w:id="27" w:name="X76e848b85b6702f6fbd6aa9f9920bbb4b9c8225"/>
    <w:p>
      <w:pPr>
        <w:pStyle w:val="Heading3"/>
      </w:pPr>
      <w:r>
        <w:t xml:space="preserve">4.1 Judicial Independence and Attorney Rights</w:t>
      </w:r>
    </w:p>
    <w:p>
      <w:pPr>
        <w:pStyle w:val="FirstParagraph"/>
      </w:pPr>
      <w:r>
        <w:t xml:space="preserve">Criminal defense attorneys in Istanbul often face unique pressures. Recent amendments to the Turkish Penal Code have expanded the definition of crimes against state security, leading to increased scrutiny on lawyers defending high-profile political or terrorism-related cases. The legal community in Turkey Istanbul has actively debated these changes, arguing that they infringe upon the fundamental right to a fair defense.</w:t>
      </w:r>
    </w:p>
    <w:bookmarkEnd w:id="27"/>
    <w:bookmarkStart w:id="28" w:name="access-to-evidence-and-detention-limits"/>
    <w:p>
      <w:pPr>
        <w:pStyle w:val="Heading3"/>
      </w:pPr>
      <w:r>
        <w:t xml:space="preserve">4.2 Access to Evidence and Detention Limits</w:t>
      </w:r>
    </w:p>
    <w:p>
      <w:pPr>
        <w:pStyle w:val="FirstParagraph"/>
      </w:pPr>
      <w:r>
        <w:t xml:space="preserve">A critical aspect of legal practice in this jurisdiction is ensuring access to evidence during pre-trial investigations. Lawyers in Turkey Istanbul must navigate complex procedural rules regarding detention periods and interrogation rights. The ability of a defense attorney to meet with their client without undue interference is a cornerstone of effective representation, yet it remains a frequent point of contention between the bar associations and law enforcement agencies.</w:t>
      </w:r>
    </w:p>
    <w:bookmarkEnd w:id="28"/>
    <w:bookmarkEnd w:id="29"/>
    <w:bookmarkStart w:id="30" w:name="X975eeb0b30a8bed9d51070736fa8c1d662ca193"/>
    <w:p>
      <w:pPr>
        <w:pStyle w:val="Heading2"/>
      </w:pPr>
      <w:r>
        <w:t xml:space="preserve">5. Digital Transformation and Legal Tech in Istanbul</w:t>
      </w:r>
    </w:p>
    <w:p>
      <w:pPr>
        <w:pStyle w:val="FirstParagraph"/>
      </w:pPr>
      <w:r>
        <w:t xml:space="preserve">The legal landscape in Turkey Istanbul is undergoing a digital transformation. The e-Adliye (e-Court) system allows for electronic filing of lawsuits, service of documents, and access to case files. A modern Lawyer must be proficient in utilizing these digital tools to streamline processes and improve client service.</w:t>
      </w:r>
    </w:p>
    <w:p>
      <w:pPr>
        <w:pStyle w:val="BodyText"/>
      </w:pPr>
      <w:r>
        <w:t xml:space="preserve">However, the integration of technology also raises questions about data privacy under Turkey’s Personal Data Protection Law (KVKK). Legal practitioners must ensure that they comply with stringent data security standards when handling sensitive client information, particularly given the cross-border nature of many legal cases involving international parties.</w:t>
      </w:r>
    </w:p>
    <w:bookmarkEnd w:id="30"/>
    <w:bookmarkStart w:id="31" w:name="conclusion"/>
    <w:p>
      <w:pPr>
        <w:pStyle w:val="Heading2"/>
      </w:pPr>
      <w:r>
        <w:t xml:space="preserve">6. Conclusion</w:t>
      </w:r>
    </w:p>
    <w:p>
      <w:pPr>
        <w:pStyle w:val="FirstParagraph"/>
      </w:pPr>
      <w:r>
        <w:t xml:space="preserve">The practice of law in Turkey Istanbul is a dynamic and complex field that requires a nuanced understanding of both domestic statutes and international best practices. A Lawyer operating in this jurisdiction must be adept at navigating the regulatory frameworks established by the TTB, managing high-stakes commercial transactions, and advocating for clients within an evolving judicial system.</w:t>
      </w:r>
    </w:p>
    <w:p>
      <w:pPr>
        <w:pStyle w:val="BodyText"/>
      </w:pPr>
      <w:r>
        <w:t xml:space="preserve">As Turkey continues to integrate more deeply into the global economy, the demand for sophisticated legal services in Istanbul will only grow. The future of legal practice in this region will likely be defined by a balance between traditional civil law procedures and the adoption of international standards regarding transparency, digitalization, and human rights. For stakeholders ranging from multinational corporations to individual citizens, engaging with qualified local counsel remains an indispensable strategy for mitigating risk and ensuring justice in Turkey Istanbul.</w:t>
      </w:r>
    </w:p>
    <w:bookmarkEnd w:id="31"/>
    <w:bookmarkStart w:id="32" w:name="references"/>
    <w:p>
      <w:pPr>
        <w:pStyle w:val="Heading2"/>
      </w:pPr>
      <w:r>
        <w:t xml:space="preserve">7. References</w:t>
      </w:r>
    </w:p>
    <w:p>
      <w:pPr>
        <w:numPr>
          <w:ilvl w:val="0"/>
          <w:numId w:val="1001"/>
        </w:numPr>
        <w:pStyle w:val="Compact"/>
      </w:pPr>
      <w:r>
        <w:t xml:space="preserve">Turkish Code of Obligations No. 6098.</w:t>
      </w:r>
    </w:p>
    <w:p>
      <w:pPr>
        <w:numPr>
          <w:ilvl w:val="0"/>
          <w:numId w:val="1001"/>
        </w:numPr>
        <w:pStyle w:val="Compact"/>
      </w:pPr>
      <w:r>
        <w:t xml:space="preserve">Turkish Commercial Code No. 6102.</w:t>
      </w:r>
    </w:p>
    <w:p>
      <w:pPr>
        <w:numPr>
          <w:ilvl w:val="0"/>
          <w:numId w:val="1001"/>
        </w:numPr>
        <w:pStyle w:val="Compact"/>
      </w:pPr>
      <w:r>
        <w:t xml:space="preserve">Union of Turkish Bar Associations (TTB) Annual Reports on Professional Ethics.</w:t>
      </w:r>
    </w:p>
    <w:p>
      <w:pPr>
        <w:numPr>
          <w:ilvl w:val="0"/>
          <w:numId w:val="1001"/>
        </w:numPr>
        <w:pStyle w:val="Compact"/>
      </w:pPr>
      <w:r>
        <w:t xml:space="preserve">Istanbul Bar Association Statistical Data on Case Loads and Demographics.</w:t>
      </w:r>
    </w:p>
    <w:p>
      <w:pPr>
        <w:numPr>
          <w:ilvl w:val="0"/>
          <w:numId w:val="1001"/>
        </w:numPr>
        <w:pStyle w:val="Compact"/>
      </w:pPr>
      <w:r>
        <w:t xml:space="preserve">Law No. 6698 on the Protection of Personal Data (KVKK).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Lawyers in Turkey Istanbul: A Comprehensive Analysis</dc:title>
  <dc:creator/>
  <dc:language>en</dc:language>
  <cp:keywords/>
  <dcterms:created xsi:type="dcterms:W3CDTF">2026-07-29T15:12:24Z</dcterms:created>
  <dcterms:modified xsi:type="dcterms:W3CDTF">2026-07-29T15:12:24Z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