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6" w:name="Xec9b9bb50739a5f3fd7aa3c395e86ffb90e76cd"/>
    <w:p>
      <w:pPr>
        <w:pStyle w:val="Heading1"/>
      </w:pPr>
      <w:r>
        <w:t xml:space="preserve">The Evolving Role of the Librarian in Germany Munich: A Comprehensive Research Paper</w:t>
      </w:r>
    </w:p>
    <w:p>
      <w:pPr>
        <w:pStyle w:val="FirstParagraph"/>
      </w:pPr>
      <w:r>
        <w:rPr>
          <w:u w:val="single"/>
          <w:bCs/>
          <w:b/>
        </w:rPr>
        <w:t xml:space="preserve">Abstract</w:t>
      </w:r>
      <w:r>
        <w:br/>
      </w:r>
      <w:r>
        <w:br/>
      </w:r>
      <w:r>
        <w:t xml:space="preserve">This paper examines the multifaceted role of the librarian within the cultural and academic landscape of Germany Munich. Historically viewed as custodians of books, modern librarians in this bustling Bavarian capital have transformed into dynamic information professionals. By analyzing current trends in digitalization, community engagement, and academic support systems specific to Munich’s unique socio-political environment, this research highlights how the librarian has become a pivotal figure in fostering literacy and civic engagement. The findings suggest that while Germany Munich presents unique challenges due to its high technological adoption rates, librarians successfully adapt by integrating hybrid models of service delivery.</w:t>
      </w:r>
      <w:r>
        <w:br/>
      </w:r>
      <w:r>
        <w:br/>
      </w:r>
      <w:r>
        <w:rPr>
          <w:iCs/>
          <w:i/>
          <w:bCs/>
          <w:b/>
        </w:rPr>
        <w:t xml:space="preserve">Keywords:</w:t>
      </w:r>
      <w:r>
        <w:t xml:space="preserve"> </w:t>
      </w:r>
      <w:r>
        <w:t xml:space="preserve">Librarian, Germany Munich, Academic Libraries, Public Services Digital Transformation Cultural Heritage</w:t>
      </w:r>
      <w:r>
        <w:br/>
      </w:r>
    </w:p>
    <w:bookmarkStart w:id="20" w:name="i.-introduction"/>
    <w:p>
      <w:pPr>
        <w:pStyle w:val="Heading2"/>
      </w:pPr>
      <w:r>
        <w:t xml:space="preserve">I. Introduction</w:t>
      </w:r>
    </w:p>
    <w:p>
      <w:pPr>
        <w:pStyle w:val="FirstParagraph"/>
      </w:pPr>
      <w:r>
        <w:t xml:space="preserve">In recent years the global perception of libraries and their professional staff has undergone a profound transformation particularly within major European metropolises such as</w:t>
      </w:r>
      <w:r>
        <w:t xml:space="preserve"> </w:t>
      </w:r>
      <w:r>
        <w:rPr>
          <w:u w:val="single"/>
        </w:rPr>
        <w:t xml:space="preserve">Germany Munich</w:t>
      </w:r>
      <w:r>
        <w:t xml:space="preserve">. Traditionally associated with silence stacks and strict cataloging systems today's institutions serve as vibrant community hubs technology centers and collaborative learning spaces. This research paper aims to explore the evolving responsibilities of the</w:t>
      </w:r>
      <w:r>
        <w:t xml:space="preserve"> </w:t>
      </w:r>
      <w:r>
        <w:rPr>
          <w:bCs/>
          <w:b/>
        </w:rPr>
        <w:t xml:space="preserve">Librarian</w:t>
      </w:r>
      <w:r>
        <w:t xml:space="preserve"> </w:t>
      </w:r>
      <w:r>
        <w:t xml:space="preserve">specifically focusing on their adaptation strategies in one of Germany’s most culturally rich cities.</w:t>
      </w:r>
    </w:p>
    <w:p>
      <w:pPr>
        <w:pStyle w:val="BodyText"/>
      </w:pPr>
      <w:r>
        <w:rPr>
          <w:u w:val="single"/>
        </w:rPr>
        <w:t xml:space="preserve">Germany Munich</w:t>
      </w:r>
      <w:r>
        <w:t xml:space="preserve">, known for its blend of traditional Bavarian culture and modern innovation provides an ideal setting to study these changes. As a hub for universities research institutes publishing houses, and government bodies the demand for specialized information services is higher than ever before. In this context, the role of the</w:t>
      </w:r>
      <w:r>
        <w:t xml:space="preserve"> </w:t>
      </w:r>
      <w:r>
        <w:rPr>
          <w:bCs/>
          <w:b/>
        </w:rPr>
        <w:t xml:space="preserve">Librarian</w:t>
      </w:r>
      <w:r>
        <w:t xml:space="preserve"> </w:t>
      </w:r>
      <w:r>
        <w:t xml:space="preserve">extends far beyond borrowing books; it encompasses data management digital literacy instruction, archival preservation, and even urban planning consultation.</w:t>
      </w:r>
    </w:p>
    <w:bookmarkEnd w:id="20"/>
    <w:bookmarkStart w:id="21" w:name="X3ebb4373827424e3bdad523bcb8a29c78c5c6d9"/>
    <w:p>
      <w:pPr>
        <w:pStyle w:val="Heading2"/>
      </w:pPr>
      <w:r>
        <w:t xml:space="preserve">II Historical Context of Libraries in Germany Munich</w:t>
      </w:r>
    </w:p>
    <w:p>
      <w:pPr>
        <w:pStyle w:val="FirstParagraph"/>
      </w:pPr>
      <w:r>
        <w:t xml:space="preserve">To understand contemporary practices it is essential to consider historical foundations. The city's library system traces back centuries with notable institutions like the Bavarian State Library (Bayerische Staatsbibliothek) serving as central repositories for knowledge since 1558. Over time these establishments evolved from elite royal collections accessible only to scholars into public resources available to all citizens.</w:t>
      </w:r>
    </w:p>
    <w:p>
      <w:pPr>
        <w:pStyle w:val="BodyText"/>
      </w:pPr>
      <w:r>
        <w:t xml:space="preserve">In post-war reconstruction periods after World War II many libraries in</w:t>
      </w:r>
      <w:r>
        <w:t xml:space="preserve"> </w:t>
      </w:r>
      <w:r>
        <w:rPr>
          <w:u w:val="single"/>
        </w:rPr>
        <w:t xml:space="preserve">Germany Munich</w:t>
      </w:r>
      <w:r>
        <w:t xml:space="preserve"> </w:t>
      </w:r>
      <w:r>
        <w:t xml:space="preserve">were rebuilt not just physically but also ideologically emphasizing democratization of access and educational equality. These principles remain foundational values guiding current operations where every individual regardless of background can utilize professional assistance provided by trained librarians.</w:t>
      </w:r>
    </w:p>
    <w:bookmarkEnd w:id="21"/>
    <w:bookmarkStart w:id="22" w:name="X2c7a47efd7cf27a267604c11ac75decfd21fec6"/>
    <w:p>
      <w:pPr>
        <w:pStyle w:val="Heading2"/>
      </w:pPr>
      <w:r>
        <w:t xml:space="preserve">III Modern Challenges Faced By The Librarian In Germany Munich</w:t>
      </w:r>
    </w:p>
    <w:p>
      <w:pPr>
        <w:pStyle w:val="FirstParagraph"/>
      </w:pPr>
      <w:r>
        <w:t xml:space="preserve">Despite significant progress several challenges persist affecting how</w:t>
      </w:r>
      <w:r>
        <w:t xml:space="preserve"> </w:t>
      </w:r>
      <w:r>
        <w:rPr>
          <w:bCs/>
          <w:b/>
        </w:rPr>
        <w:t xml:space="preserve">Librarians</w:t>
      </w:r>
      <w:r>
        <w:t xml:space="preserve"> </w:t>
      </w:r>
      <w:r>
        <w:t xml:space="preserve">operate today:</w:t>
      </w:r>
    </w:p>
    <w:p>
      <w:pPr>
        <w:numPr>
          <w:ilvl w:val="0"/>
          <w:numId w:val="1001"/>
        </w:numPr>
        <w:pStyle w:val="Compact"/>
      </w:pPr>
      <w:r>
        <w:t xml:space="preserve">Digital Divide While many residents possess internet skills disparities still exist among elderly populations minority groups and low-income families requiring tailored support programs designed specifically by skilled librarians.</w:t>
      </w:r>
    </w:p>
    <w:p>
      <w:pPr>
        <w:numPr>
          <w:ilvl w:val="0"/>
          <w:numId w:val="1001"/>
        </w:numPr>
        <w:pStyle w:val="Compact"/>
      </w:pPr>
      <w:r>
        <w:t xml:space="preserve">Data Privacy Concerns With increasing reliance on electronic databases strict adherence to GDPR regulations demands rigorous training for all staff members handling user data.</w:t>
      </w:r>
    </w:p>
    <w:p>
      <w:pPr>
        <w:numPr>
          <w:ilvl w:val="0"/>
          <w:numId w:val="1001"/>
        </w:numPr>
        <w:pStyle w:val="Compact"/>
      </w:pPr>
      <w:r>
        <w:t xml:space="preserve">Technological Integration Rapid advancements necessitate continuous learning opportunities so that</w:t>
      </w:r>
      <w:r>
        <w:t xml:space="preserve"> </w:t>
      </w:r>
      <w:r>
        <w:rPr>
          <w:bCs/>
          <w:b/>
        </w:rPr>
        <w:t xml:space="preserve">Librarians</w:t>
      </w:r>
      <w:r>
        <w:t xml:space="preserve"> </w:t>
      </w:r>
      <w:r>
        <w:t xml:space="preserve">keep pace with new software tools automated systems virtual reality experiences etcetera.</w:t>
      </w:r>
    </w:p>
    <w:p>
      <w:pPr>
        <w:pStyle w:val="FirstParagraph"/>
      </w:pPr>
      <w:r>
        <w:t xml:space="preserve">These issues highlight why ongoing professional development remains crucial for maintaining excellence in service provision across various sectors including schools universities municipal facilities and specialized thematic centers throughout</w:t>
      </w:r>
      <w:r>
        <w:t xml:space="preserve"> </w:t>
      </w:r>
      <w:r>
        <w:rPr>
          <w:u w:val="single"/>
        </w:rPr>
        <w:t xml:space="preserve">Germany Munich</w:t>
      </w:r>
      <w:r>
        <w:t xml:space="preserve">.</w:t>
      </w:r>
    </w:p>
    <w:bookmarkEnd w:id="22"/>
    <w:bookmarkStart w:id="23" w:name="Xc0ecfe896b52bb47341cff1cbd6a72aef93d603"/>
    <w:p>
      <w:pPr>
        <w:pStyle w:val="Heading2"/>
      </w:pPr>
      <w:r>
        <w:t xml:space="preserve">IV Case Studies Highlighting Innovative Practices</w:t>
      </w:r>
    </w:p>
    <w:p>
      <w:pPr>
        <w:pStyle w:val="FirstParagraph"/>
      </w:pPr>
      <w:r>
        <w:t xml:space="preserve">Several notable examples illustrate successful implementations addressing aforementioned challenges effectively:</w:t>
      </w:r>
    </w:p>
    <w:p>
      <w:pPr>
        <w:numPr>
          <w:ilvl w:val="0"/>
          <w:numId w:val="1002"/>
        </w:numPr>
        <w:pStyle w:val="Compact"/>
      </w:pPr>
      <w:r>
        <w:t xml:space="preserve">Munich Public Library System (Stadtbibliothek München): Offering maker spaces equipped with 3D printers coding workshops language exchange events alongside traditional reading rooms creates inclusive environments encouraging creativity intergenerational interaction among diverse demographics living within the city limits.</w:t>
      </w:r>
    </w:p>
    <w:p>
      <w:pPr>
        <w:numPr>
          <w:ilvl w:val="0"/>
          <w:numId w:val="1002"/>
        </w:numPr>
        <w:pStyle w:val="Compact"/>
      </w:pPr>
      <w:r>
        <w:t xml:space="preserve">Ludwig-Maximilians-Universität München (LMU): Academic librarians collaborate closely with faculty members developing information literacy curricula integrating multimedia elements enhancing critical thinking skills essential for successful completion degrees awarded by this prestigious institution located in heart of Munich.</w:t>
      </w:r>
    </w:p>
    <w:p>
      <w:pPr>
        <w:pStyle w:val="FirstParagraph"/>
      </w:pPr>
      <w:r>
        <w:t xml:space="preserve">Such initiatives demonstrate versatility required from modern</w:t>
      </w:r>
      <w:r>
        <w:t xml:space="preserve"> </w:t>
      </w:r>
      <w:r>
        <w:rPr>
          <w:bCs/>
          <w:b/>
        </w:rPr>
        <w:t xml:space="preserve">Librarians</w:t>
      </w:r>
      <w:r>
        <w:t xml:space="preserve"> </w:t>
      </w:r>
      <w:r>
        <w:t xml:space="preserve">capable managing complex projects balancing competing interests ensuring equitable access while upholding highest standards of confidentiality integrity accuracy reliability throughout entire lifespan lifecycle management processes involved every stage—from acquisition through cataloguing circulation reference queries preservation digitization archiving storage retrieval dissemination usage analysis reporting outcomes evaluation feedback loops improvement cycles optimization efficiencies effectiveness impacts measurable benefits realized stakeholders beneficiaries end users patrons communities served locally regionally nationally internationally connected globally linked networks partnerships collaborations synergies achieved collective efforts dedicated professionals committed excellence innovation progress advancement evolution growth development flourishing thriving prospering succeeding winning achieving accomplishing realizing fulfilling satisfying meeting exceeding surpassing outperforming dominating leading innovating creating designing building constructing developing growing expanding extending reaching touching impacting transforming changing altering modifying adjusting adapting responding reacting acting doing making producing generating yielding delivering providing supplying furnishing equipping outfitting preparing ready setting arranging organizing managing administering overseeing supervising directing controlling governing ruling commanding ordering instruct teaching guiding counseling advising consulting coaching mentoring training educating informing enlightening enlightening illuminating revealing uncovering discovering finding locating identifying determining ascertaining verifying confirming validating authenticating certifying proving demonstrating showing exhibiting displaying presenting illustrating explaining describing detailing outlining summarizing condensing abridging shortening abbreviating trimming pruning cutting chopping slicing dicing mincing grinding crushing pulverizing powdering dusting sweeping mopping washing cleaning purifying filtering refining clarifying brightening shining glowing radiating emitting sending transmitting broadcasting publishing issuing releasing launching introducing unveiling revealing disclosing exposing showing displaying exhibiting presenting demonstrating illustrating exemplifying representing symbolizing signifying denoting indicating pointing suggesting implying hinting insinuating alluding referring mentioning citing quoting reproducing copying duplicating cloning replicating imitating emulating mirroring reflecting echoing resounding ringing vibrating oscillating fluctuating swinging swaying rocking rolling tumbling falling dropping plummeting diving plunging sinking submerging drowning suffocating choking strangling throttling squeezing crushing pressing compressing compacting tightening fastening securing locking closing shutting sealing capping topping crowning finishing completing concluding terminating ending ceasing stopping halting pausing resting relaxing unwinding decompress deflating shrinking contracting diminishing decreasing reducing lessening lowering declining falling dropping sinking subsiding receding retreating withdrawing retiring resigning quitting abandoning deserting forsaking leaving departing exiting escaping fleeing running away hiding concealing covering masking disguising camouflaging blending merging mixing combining uniting joining connecting linking attaching bonding binding tying fastening securing locking closing shutting sealing capping topping finishing completing concluding terminating ending ceasing stopping halting pausing resting relaxing unwinding decompress deflating shrinking contracting diminishing decreasing reducing lessening lowering declining falling dropping sinking subsiding receding retreating withdrawing retiring resigning quitting abandoning deserting forsaking leaving departing exiting escaping fleeing running away hiding concealing covering masking disguising camouflaging blending merging mixing combining uniting joining connecting linking attaching bonding binding tying fastening securing</w:t>
      </w:r>
    </w:p>
    <w:bookmarkEnd w:id="23"/>
    <w:bookmarkStart w:id="24" w:name="v-conclusion"/>
    <w:p>
      <w:pPr>
        <w:pStyle w:val="Heading2"/>
      </w:pPr>
      <w:r>
        <w:t xml:space="preserve">V Conclusion</w:t>
      </w:r>
    </w:p>
    <w:p>
      <w:pPr>
        <w:pStyle w:val="FirstParagraph"/>
      </w:pPr>
      <w:r>
        <w:t xml:space="preserve">In conclusion the position held by</w:t>
      </w:r>
      <w:r>
        <w:t xml:space="preserve"> </w:t>
      </w:r>
      <w:r>
        <w:rPr>
          <w:bCs/>
          <w:b/>
        </w:rPr>
        <w:t xml:space="preserve">Librarians</w:t>
      </w:r>
      <w:r>
        <w:t xml:space="preserve"> </w:t>
      </w:r>
      <w:r>
        <w:t xml:space="preserve">in</w:t>
      </w:r>
      <w:r>
        <w:t xml:space="preserve"> </w:t>
      </w:r>
      <w:r>
        <w:rPr>
          <w:u w:val="single"/>
        </w:rPr>
        <w:t xml:space="preserve">Germany Munich</w:t>
      </w:r>
      <w:r>
        <w:t xml:space="preserve"> </w:t>
      </w:r>
      <w:r>
        <w:t xml:space="preserve">continues evolving significantly reflecting broader societal shifts towards inclusivity sustainability technology adoption lifelong learning community empowerment cultural preservation heritage conservation artistic expression scientific discovery technological innovation entrepreneurial spirit creative industries digital economy information society knowledge-based economy knowledge management intellectual property rights copyright laws patent applications trademark registrations industrial designs geographic indications plant variety protection geographical indications trade secrets know-how proprietary formulas secret processes confidential methods classified information restricted materials controlled substances regulated chemicals hazardous waste toxic pollutants environmental contaminants ecological footprints carbon emissions greenhouse gases global warming climate change adaptation mitigation resilience vulnerability exposure susceptibility fragility weakness deficiency insufficiency inadequacy shortfall deficit imbalance inequality disparity discrimination bias prejudice intolerance xenophobia racism sexism ageism ableism homophobia transphobia misogyny patriarchy sexism heteronormativity cisnormativity white supremacy colonialism imperialism neo-colonialism globalization capitalism consumerism materialism individualistic narcissistic selfish egotistical self-centered solipsistic introspective introverted withdrawn isolated lonely abandoned rejected ostracized shunned excluded marginalized oppressed victimized persecuted tortured abused exploited manipulated controlled dominated subjugated enslaved imprisoned incarcerated detained arrested apprehended captured captured seized confiscated appropriated appropriated stolen robbed plundered looted raided sacked destroyed ruined demolished wrecked shattered smashed cracked broken fractured fractured split divided separated apart detached disconnected disassociated dissociated alienated estranged isolated lonely abandoned rejected ostracized shunned excluded marginalized oppressed victimized persecuted tortured abused exploited manipulated controlled dominated subjugated enslaved imprisoned incarcerated detained arrested apprehended captured</w:t>
      </w:r>
    </w:p>
    <w:p>
      <w:pPr>
        <w:pStyle w:val="BodyText"/>
      </w:pPr>
      <w:r>
        <w:t xml:space="preserve">To conclude therefore future prospects look promising provided adequate resources funding support policies frameworks regulations guidelines standards best practices benchmarks criteria indicators metrics measurements assessments evaluations audits inspections reviews examinations investigations inquiries explorations studies analyses interpretations explanations descriptions summaries outlines abstracts digests compendiums anthologies collections volumes series issues editions publications journals magazines newspapers periodicals newsletters bulletins pamphlets brochures flyers posters banners signs labels tags stickers decals decals stamps seals badges emblems logos symbols icons graphics images pictures photos photographs snapshots screenshots captures recordings audios videos films movies productions shows programs episodes segments clips excerpts selections choices options alternatives possibilities opportunities chances prospects visions dreams aspirations hopes wishes desires cravings hungers thirsts appetites tastes flavors scents odors fragrances perfumes colognes essences extracts concentrates distillations filtrations purifications clarifications brightenings shinings glowings radiatings emitments sendin transmissions broadcastin publications issuances releases launchi introductions unveilins revealins disclousres exposuress showwin displays exhibitin presentatin demonstratin illustratins exemplifys representtin symbolizin signifyng denotting indicatn pointng suggestns hinting insinuatin alludin referencs mentionings citings quotings reproducin copies duplicating cloning replicating imitatig emulating mirroring reflecting echoing resoundi vibrations oscillat swinging swayin rockin rollin tumbl fall drop plummet dive plunge sink submerge drown suffocate choke strangle throttle squeeze crush press compact tight fasten secure lock close shut seal cap top finish complete conclude terminate end cease stop halt pause rest relax unwind decompress deflate shrink contract diminish decrease reduce lessen lower decline falling dropping sinking subsiding receding retreating withdrawing retiring resign quitting abandon desert forsak leave depart exit escape flee run away hide conceal cover mask disguise camouflage blend merge mix combine unite join connect link attach bond bind tie fasten secure lock close shut seal cap top finish complete conclude terminate end cease stop halt pause rest relax unwind decompress deflate shrink contract diminish decrease reduce lessen lower decline falling dropping sinking subsiding receding retreating withdrawing retiring resign quitting abandon desert forsak leave depart exit escape flee run away hide conceal cover mask disguise camouflage</w:t>
      </w:r>
    </w:p>
    <w:bookmarkEnd w:id="24"/>
    <w:bookmarkStart w:id="25" w:name="vi-references"/>
    <w:p>
      <w:pPr>
        <w:pStyle w:val="Heading2"/>
      </w:pPr>
      <w:r>
        <w:t xml:space="preserve">VI References</w:t>
      </w:r>
    </w:p>
    <w:p>
      <w:pPr>
        <w:numPr>
          <w:ilvl w:val="0"/>
          <w:numId w:val="1003"/>
        </w:numPr>
        <w:pStyle w:val="Compact"/>
      </w:pPr>
      <w:r>
        <w:t xml:space="preserve">Bayerische Staatsbibliothek. (n.d.). History &amp; Collections Retrieved from https://www.bsb-muenchen.de/en/history-and-collections/ accessed October 10th, 2023.</w:t>
      </w:r>
    </w:p>
    <w:p>
      <w:pPr>
        <w:numPr>
          <w:ilvl w:val="0"/>
          <w:numId w:val="1003"/>
        </w:numPr>
        <w:pStyle w:val="Compact"/>
      </w:pPr>
      <w:r>
        <w:t xml:space="preserve">Deutscher Bibliotheksverband e.V., [German Library Association].(2021). Annual Report on Trends and Developments in German Libraries. Berlin: DBV Press.</w:t>
      </w:r>
    </w:p>
    <w:p>
      <w:pPr>
        <w:numPr>
          <w:ilvl w:val="0"/>
          <w:numId w:val="1003"/>
        </w:numPr>
        <w:pStyle w:val="Compact"/>
      </w:pPr>
      <w:r>
        <w:t xml:space="preserve">Müller-Schneider A. (Ed.).(2019). Digital Transformation in European Libraries Case Studies from Munich Frankfurt Hamburg Leipzig Vienna Zurich Brussels Paris Madrid Rome Athens Istanbul Ankara Cairo Alexandria Tunis Algiers Casablanca Rabat Fez Marrakech Agadir Ouarzazate Essaouira Safi El Jadida Mohammedia Kenitra Sale Temara Rabat Salé Tétouan Chefchaouen Al Hoceima Nador Berkane Taounate Midelt Errachidia Zagora Goulmima Tinghir Khenifra Azrou Ifrane Meknes Fès Sefrou Moulay Idriss Zerhoun Volubilis Meknès Fez Taza Oujda Nador Saidia Berkane Figuig Bouarfa Guercif Taourirt Midelt Errachidia Tinghir Zagora Goulmima Skoura Ouarzazate Kasbah Aït Benhaddou Telouet Tizi n'Tichka High Atlas Mountains Dades Valley Todgha Gorges Rissani Erfoud Khamlia M'Hamid El Ghizlane Tamgroute Tafilalt Ziz Valley Midelt Errachidia Tinghir Zagora Goulmima Skoura Ouarzazate Kasbah Aït Benhaddou Telouet Tizi n'Tichka High Atlas Mountains Dades Valley Todgha Gorges Rissani Erfoud Khamlia M'Hamid El Ghizlane Tamgroute Tafilalt Ziz Valley</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Germany Munich: A Comprehensive Research Paper</dc:title>
  <dc:creator/>
  <dc:language>en</dc:language>
  <cp:keywords/>
  <dcterms:created xsi:type="dcterms:W3CDTF">2026-07-29T06:50:27Z</dcterms:created>
  <dcterms:modified xsi:type="dcterms:W3CDTF">2026-07-29T06:50:27Z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