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Masonry</w:t>
      </w:r>
      <w:r>
        <w:t xml:space="preserve"> </w:t>
      </w:r>
      <w:r>
        <w:t xml:space="preserve">in</w:t>
      </w:r>
      <w:r>
        <w:t xml:space="preserve"> </w:t>
      </w:r>
      <w:r>
        <w:t xml:space="preserve">Australia:</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30" w:name="X23a2f0ffae6c03fb085919338d763c8daf86d3c"/>
    <w:p>
      <w:pPr>
        <w:pStyle w:val="Heading1"/>
      </w:pPr>
      <w:r>
        <w:t xml:space="preserve">The Resilience of Masonry in Modern Construction: A Critical Analysis for Australia, Sydney</w:t>
      </w:r>
    </w:p>
    <w:p>
      <w:pPr>
        <w:pStyle w:val="FirstParagraph"/>
      </w:pPr>
      <w:r>
        <w:rPr>
          <w:bCs/>
          <w:b/>
        </w:rPr>
        <w:t xml:space="preserve">Date:</w:t>
      </w:r>
    </w:p>
    <w:p>
      <w:pPr>
        <w:pStyle w:val="BodyText"/>
      </w:pPr>
      <w:r>
        <w:t xml:space="preserve">October 24, 2023</w:t>
      </w:r>
    </w:p>
    <w:p>
      <w:pPr>
        <w:pStyle w:val="BodyText"/>
      </w:pPr>
      <w:r>
        <w:br/>
      </w:r>
    </w:p>
    <w:p>
      <w:pPr>
        <w:pStyle w:val="BodyText"/>
      </w:pPr>
      <w:r>
        <w:rPr>
          <w:bCs/>
          <w:b/>
        </w:rPr>
        <w:t xml:space="preserve">Author:</w:t>
      </w:r>
    </w:p>
    <w:p>
      <w:pPr>
        <w:pStyle w:val="BodyText"/>
      </w:pPr>
      <w:r>
        <w:t xml:space="preserve">Research Division, Built Environment Sector</w:t>
      </w:r>
    </w:p>
    <w:bookmarkStart w:id="20" w:name="abstract"/>
    <w:p>
      <w:pPr>
        <w:pStyle w:val="Heading2"/>
      </w:pPr>
      <w:r>
        <w:t xml:space="preserve">Abstract</w:t>
      </w:r>
    </w:p>
    <w:p>
      <w:pPr>
        <w:pStyle w:val="FirstParagraph"/>
      </w:pPr>
      <w:r>
        <w:t xml:space="preserve">This research paper explores the enduring relevance and technical necessity of masonry in the contemporary construction landscape, with a specific focus on Australia, Sydney. As urban density increases and environmental considerations become paramount, the role of traditional building materials like brick and stone is being re-evaluated. This document analyzes thermal performance, durability against local climatic conditions, regulatory compliance within New South Wales (NSW), and aesthetic integration into the Sydney skyline.</w:t>
      </w:r>
    </w:p>
    <w:bookmarkEnd w:id="20"/>
    <w:bookmarkStart w:id="21" w:name="introduction"/>
    <w:p>
      <w:pPr>
        <w:pStyle w:val="Heading2"/>
      </w:pPr>
      <w:r>
        <w:t xml:space="preserve">1. Introduction</w:t>
      </w:r>
    </w:p>
    <w:p>
      <w:pPr>
        <w:pStyle w:val="FirstParagraph"/>
      </w:pPr>
      <w:r>
        <w:t xml:space="preserve">Masonry has stood as a cornerstone of human civilization for millennia. From ancient fortifications to modern high-rises, its structural integrity remains unmatched by many contemporary composite materials. However, in the rapidly evolving architectural scene of Australia, Sydney, the question arises: Does traditional masonry still hold significant value? This paper argues that despite advancements in steel and concrete technologies, Masonry continues to offer unparalleled benefits for builders and developers operating in this specific geographic region.</w:t>
      </w:r>
    </w:p>
    <w:bookmarkEnd w:id="21"/>
    <w:bookmarkStart w:id="22" w:name="Xf2bef3b80a876167ccb60ca50ff8e2c67e39c51"/>
    <w:p>
      <w:pPr>
        <w:pStyle w:val="Heading2"/>
      </w:pPr>
      <w:r>
        <w:t xml:space="preserve">2. Climatic Adaptation: The Australian Context</w:t>
      </w:r>
    </w:p>
    <w:p>
      <w:pPr>
        <w:pStyle w:val="FirstParagraph"/>
      </w:pPr>
      <w:r>
        <w:t xml:space="preserve">Australia is characterized by diverse climatic zones, ranging from humid subtropical conditions in the north to Mediterranean climates in Perth and temperate oceanic conditions elsewhere. Sydney sits within a warm temperate zone with hot, humid summers and mild winters.</w:t>
      </w:r>
    </w:p>
    <w:p>
      <w:pPr>
        <w:pStyle w:val="BlockText"/>
      </w:pPr>
      <w:r>
        <w:t xml:space="preserve">"The thermal mass of masonry provides passive temperature regulation essential for energy efficiency."</w:t>
      </w:r>
    </w:p>
    <w:p>
      <w:pPr>
        <w:pStyle w:val="FirstParagraph"/>
      </w:pPr>
      <w:r>
        <w:t xml:space="preserve">In Australia, Sydney experiences significant solar gain during the summer months. Masonry walls possess high thermal mass, meaning they absorb heat slowly and release it slowly. This characteristic helps stabilize indoor temperatures, reducing reliance on air conditioning systems—a crucial factor given rising electricity costs and national sustainability targets.</w:t>
      </w:r>
    </w:p>
    <w:bookmarkEnd w:id="22"/>
    <w:bookmarkStart w:id="23" w:name="durability-and-bushfire-resistance"/>
    <w:p>
      <w:pPr>
        <w:pStyle w:val="Heading2"/>
      </w:pPr>
      <w:r>
        <w:t xml:space="preserve">3. Durability and Bushfire Resistance</w:t>
      </w:r>
    </w:p>
    <w:p>
      <w:pPr>
        <w:pStyle w:val="FirstParagraph"/>
      </w:pPr>
      <w:r>
        <w:t xml:space="preserve">Sydney’s surrounding regions are prone to bushfires, especially during the austral summer. One of the most compelling arguments for using Masonry in this region is its non-combustible nature. Unlike timber frames or certain composite claddings, brick and stone masonry do not contribute to fuel loads.</w:t>
      </w:r>
    </w:p>
    <w:p>
      <w:pPr>
        <w:pStyle w:val="BodyText"/>
      </w:pPr>
      <w:r>
        <w:t xml:space="preserve">Australian Standards (AS 3959) classify building construction regarding exposure to bushfire attacks (Attack Levels ranging from BAL-LOW to BAL-FZ). Masonry structures inherently meet higher Bushfire Attack Level requirements without the need for additional treatments, making them a preferred choice for developers in Sydney’s fringe suburbs.</w:t>
      </w:r>
    </w:p>
    <w:bookmarkEnd w:id="23"/>
    <w:bookmarkStart w:id="24" w:name="acoustic-performance-and-urban-density"/>
    <w:p>
      <w:pPr>
        <w:pStyle w:val="Heading2"/>
      </w:pPr>
      <w:r>
        <w:t xml:space="preserve">4. Acoustic Performance and Urban Density</w:t>
      </w:r>
    </w:p>
    <w:p>
      <w:pPr>
        <w:pStyle w:val="FirstParagraph"/>
      </w:pPr>
      <w:r>
        <w:t xml:space="preserve">Sydney is one of the most densely populated cities in Australia. As infill development accelerates, noise pollution becomes a significant concern. Masonry offers superior acoustic insulation compared to lightweight stud framing systems due to its density.</w:t>
      </w:r>
    </w:p>
    <w:p>
      <w:pPr>
        <w:numPr>
          <w:ilvl w:val="0"/>
          <w:numId w:val="1001"/>
        </w:numPr>
        <w:pStyle w:val="Compact"/>
      </w:pPr>
      <w:r>
        <w:rPr>
          <w:bCs/>
          <w:b/>
        </w:rPr>
        <w:t xml:space="preserve">Solid Brick Walls:</w:t>
      </w:r>
      <w:r>
        <w:t xml:space="preserve"> </w:t>
      </w:r>
      <w:r>
        <w:t xml:space="preserve">Provide exceptional sound dampening.</w:t>
      </w:r>
    </w:p>
    <w:p>
      <w:pPr>
        <w:numPr>
          <w:ilvl w:val="0"/>
          <w:numId w:val="1001"/>
        </w:numPr>
        <w:pStyle w:val="Compact"/>
      </w:pPr>
      <w:r>
        <w:rPr>
          <w:bCs/>
          <w:b/>
        </w:rPr>
        <w:t xml:space="preserve">Cavity Walls:</w:t>
      </w:r>
      <w:r>
        <w:t xml:space="preserve"> </w:t>
      </w:r>
      <w:r>
        <w:t xml:space="preserve">Common in Australia, Sydney builds feature cavity walls that further isolate external noise while allowing for insulation installation.</w:t>
      </w:r>
    </w:p>
    <w:bookmarkEnd w:id="24"/>
    <w:bookmarkStart w:id="25" w:name="X17653af0785faad1ca6507b772d19fa28014f45"/>
    <w:p>
      <w:pPr>
        <w:pStyle w:val="Heading2"/>
      </w:pPr>
      <w:r>
        <w:t xml:space="preserve">5. Regulatory Environment in New South Wales</w:t>
      </w:r>
    </w:p>
    <w:p>
      <w:pPr>
        <w:pStyle w:val="FirstParagraph"/>
      </w:pPr>
      <w:r>
        <w:t xml:space="preserve">The construction industry in NSW is heavily regulated by the Building Code of Australia (BCA), now known as the National Construction Code (NCC). Masonry must comply with strict structural and fire safety provisions.</w:t>
      </w:r>
    </w:p>
    <w:p>
      <w:pPr>
        <w:numPr>
          <w:ilvl w:val="0"/>
          <w:numId w:val="1002"/>
        </w:numPr>
        <w:pStyle w:val="Compact"/>
      </w:pPr>
      <w:r>
        <w:rPr>
          <w:bCs/>
          <w:b/>
        </w:rPr>
        <w:t xml:space="preserve">NCC Vol 1:</w:t>
      </w:r>
      <w:r>
        <w:t xml:space="preserve"> </w:t>
      </w:r>
      <w:r>
        <w:t xml:space="preserve">Dictates fire resistance levels for commercial buildings where masonry is often used for load-bearing walls.</w:t>
      </w:r>
    </w:p>
    <w:p>
      <w:pPr>
        <w:numPr>
          <w:ilvl w:val="0"/>
          <w:numId w:val="1002"/>
        </w:numPr>
        <w:pStyle w:val="Compact"/>
      </w:pPr>
      <w:r>
        <w:rPr>
          <w:bCs/>
          <w:b/>
        </w:rPr>
        <w:t xml:space="preserve">NCC Vol 2:</w:t>
      </w:r>
      <w:r>
        <w:t xml:space="preserve"> </w:t>
      </w:r>
      <w:r>
        <w:t xml:space="preserve">Governs Class 1 (houses) and Class 10 (sheds) buildings, emphasizing bushfire resilience and termite protection.</w:t>
      </w:r>
    </w:p>
    <w:p>
      <w:pPr>
        <w:pStyle w:val="FirstParagraph"/>
      </w:pPr>
      <w:r>
        <w:t xml:space="preserve">In Australia, Sydney local councils often have additional Design Development Guidelines that encourage heritage-sensitive developments. Masonry allows for seamless integration with existing Victorian and Edwardian architecture prevalent in neighborhoods like The Rocks or Paddington.</w:t>
      </w:r>
    </w:p>
    <w:bookmarkEnd w:id="25"/>
    <w:bookmarkStart w:id="26" w:name="economic-considerations"/>
    <w:p>
      <w:pPr>
        <w:pStyle w:val="Heading2"/>
      </w:pPr>
      <w:r>
        <w:t xml:space="preserve">6. Economic Considerations</w:t>
      </w:r>
    </w:p>
    <w:p>
      <w:pPr>
        <w:pStyle w:val="FirstParagraph"/>
      </w:pPr>
      <w:r>
        <w:t xml:space="preserve">Critics of masonry often cite labor costs as a deterrent, given the skill-intensive nature of bricklaying. However, when considering lifecycle costs rather than upfront capital expenditure, Masonry presents compelling advantages:</w:t>
      </w:r>
    </w:p>
    <w:p>
      <w:pPr>
        <w:numPr>
          <w:ilvl w:val="0"/>
          <w:numId w:val="1003"/>
        </w:numPr>
        <w:pStyle w:val="Compact"/>
      </w:pPr>
      <w:r>
        <w:rPr>
          <w:bCs/>
          <w:b/>
        </w:rPr>
        <w:t xml:space="preserve">Maintenance:</w:t>
      </w:r>
      <w:r>
        <w:t xml:space="preserve"> </w:t>
      </w:r>
      <w:r>
        <w:t xml:space="preserve">Brickwork requires minimal maintenance compared to rendered or timber-clad walls.</w:t>
      </w:r>
    </w:p>
    <w:p>
      <w:pPr>
        <w:numPr>
          <w:ilvl w:val="0"/>
          <w:numId w:val="1003"/>
        </w:numPr>
        <w:pStyle w:val="Compact"/>
      </w:pPr>
      <w:r>
        <w:rPr>
          <w:bCs/>
          <w:b/>
        </w:rPr>
        <w:t xml:space="preserve">Lifespan:</w:t>
      </w:r>
      <w:r>
        <w:t xml:space="preserve"> </w:t>
      </w:r>
      <w:r>
        <w:t xml:space="preserve">A well-built masonry structure can last over 100 years with negligible degradation.</w:t>
      </w:r>
    </w:p>
    <w:p>
      <w:pPr>
        <w:numPr>
          <w:ilvl w:val="0"/>
          <w:numId w:val="1003"/>
        </w:numPr>
        <w:pStyle w:val="Compact"/>
      </w:pPr>
      <w:r>
        <w:rPr>
          <w:bCs/>
          <w:b/>
        </w:rPr>
        <w:t xml:space="preserve">Resale Value:</w:t>
      </w:r>
    </w:p>
    <w:bookmarkEnd w:id="26"/>
    <w:bookmarkStart w:id="27" w:name="sustainability-and-environmental-impact"/>
    <w:p>
      <w:pPr>
        <w:pStyle w:val="Heading2"/>
      </w:pPr>
      <w:r>
        <w:t xml:space="preserve">7. Sustainability and Environmental Impact</w:t>
      </w:r>
    </w:p>
    <w:p>
      <w:pPr>
        <w:pStyle w:val="FirstParagraph"/>
      </w:pPr>
      <w:r>
        <w:t xml:space="preserve">The push for Green Star ratings (Australia’s leading sustainability rating system) has influenced material selection. While the production of fired clay bricks consumes energy, masonry materials are often sourced locally in Australia, reducing transportation emissions.</w:t>
      </w:r>
    </w:p>
    <w:p>
      <w:pPr>
        <w:pStyle w:val="BodyText"/>
      </w:pPr>
      <w:r>
        <w:t xml:space="preserve">Furthermore, masonry supports sustainable design through:</w:t>
      </w:r>
    </w:p>
    <w:p>
      <w:pPr>
        <w:numPr>
          <w:ilvl w:val="0"/>
          <w:numId w:val="1004"/>
        </w:numPr>
        <w:pStyle w:val="Compact"/>
      </w:pPr>
      <w:r>
        <w:rPr>
          <w:bCs/>
          <w:b/>
        </w:rPr>
        <w:t xml:space="preserve">Durability:</w:t>
      </w:r>
      <w:r>
        <w:t xml:space="preserve"> </w:t>
      </w:r>
      <w:r>
        <w:t xml:space="preserve">Reduced need for replacement materials.</w:t>
      </w:r>
    </w:p>
    <w:p>
      <w:pPr>
        <w:numPr>
          <w:ilvl w:val="0"/>
          <w:numId w:val="1004"/>
        </w:numPr>
        <w:pStyle w:val="Compact"/>
      </w:pPr>
      <w:r>
        <w:rPr>
          <w:bCs/>
          <w:b/>
        </w:rPr>
        <w:t xml:space="preserve">Natural Insulation Integration:</w:t>
      </w:r>
    </w:p>
    <w:bookmarkEnd w:id="27"/>
    <w:bookmarkStart w:id="28" w:name="conclusion"/>
    <w:p>
      <w:pPr>
        <w:pStyle w:val="Heading2"/>
      </w:pPr>
      <w:r>
        <w:t xml:space="preserve">Conclusion</w:t>
      </w:r>
    </w:p>
    <w:p>
      <w:pPr>
        <w:pStyle w:val="FirstParagraph"/>
      </w:pPr>
      <w:r>
        <w:t xml:space="preserve">In conclusion, while modern construction methods offer speed and flexibility, Masonry remains an indispensable asset for builders in Australia, Sydney. Its unique combination of thermal efficiency, fire resistance (critical for bush-prone areas), acoustic performance, and aesthetic versatility ensures its continued relevance.</w:t>
      </w:r>
    </w:p>
    <w:p>
      <w:pPr>
        <w:pStyle w:val="BodyText"/>
      </w:pPr>
      <w:r>
        <w:t xml:space="preserve">The regulatory framework in New South Wales supports the use of masonry through standards that prioritize safety and longevity. For developers looking to balance heritage appreciation with modern sustainability goals, Masonry provides a robust solution. As Sydney continues to grow vertically and densify, the foundational strength provided by masonry will remain vital.</w:t>
      </w:r>
    </w:p>
    <w:bookmarkEnd w:id="28"/>
    <w:bookmarkStart w:id="29" w:name="references"/>
    <w:p>
      <w:pPr>
        <w:pStyle w:val="Heading2"/>
      </w:pPr>
      <w:r>
        <w:t xml:space="preserve">References</w:t>
      </w:r>
    </w:p>
    <w:p>
      <w:pPr>
        <w:numPr>
          <w:ilvl w:val="0"/>
          <w:numId w:val="1005"/>
        </w:numPr>
        <w:pStyle w:val="Compact"/>
      </w:pPr>
      <w:r>
        <w:t xml:space="preserve">National Construction Code (NCC) of Australia. Volume One &amp; Two.</w:t>
      </w:r>
    </w:p>
    <w:p>
      <w:pPr>
        <w:numPr>
          <w:ilvl w:val="0"/>
          <w:numId w:val="1005"/>
        </w:numPr>
        <w:pStyle w:val="Compact"/>
      </w:pPr>
      <w:r>
        <w:t xml:space="preserve">Australian Standards AS 3959: Construction of buildings in bushfire-prone areas.</w:t>
      </w:r>
    </w:p>
    <w:p>
      <w:pPr>
        <w:numPr>
          <w:ilvl w:val="0"/>
          <w:numId w:val="1005"/>
        </w:numPr>
        <w:pStyle w:val="Compact"/>
      </w:pPr>
      <w:r>
        <w:t xml:space="preserve">Green Building Council of Australia. Green Star Ratings System.</w:t>
      </w:r>
    </w:p>
    <w:p>
      <w:pPr>
        <w:numPr>
          <w:ilvl w:val="0"/>
          <w:numId w:val="1005"/>
        </w:numPr>
        <w:pStyle w:val="Compact"/>
      </w:pPr>
      <w:r>
        <w:t xml:space="preserve">Sydney Local Environmental Plans (LEPs) and Development Control Plans (DCPs).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Masonry in Australia: A Comprehensive Research Paper</dc:title>
  <dc:creator/>
  <dc:language>en</dc:language>
  <cp:keywords/>
  <dcterms:created xsi:type="dcterms:W3CDTF">2026-07-29T15:06:23Z</dcterms:created>
  <dcterms:modified xsi:type="dcterms:W3CDTF">2026-07-29T15:06:23Z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