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w:t>
      </w:r>
      <w:r>
        <w:t xml:space="preserve"> </w:t>
      </w:r>
      <w:r>
        <w:t xml:space="preserve">Entry</w:t>
      </w:r>
      <w:r>
        <w:t xml:space="preserve"> </w:t>
      </w:r>
      <w:r>
        <w:t xml:space="preserve">Analysis:</w:t>
      </w:r>
      <w:r>
        <w:t xml:space="preserve"> </w:t>
      </w:r>
      <w:r>
        <w:t xml:space="preserve">Mason’s</w:t>
      </w:r>
      <w:r>
        <w:t xml:space="preserve"> </w:t>
      </w:r>
      <w:r>
        <w:t xml:space="preserve">Expansion</w:t>
      </w:r>
      <w:r>
        <w:t xml:space="preserve"> </w:t>
      </w:r>
      <w:r>
        <w:t xml:space="preserve">into</w:t>
      </w:r>
      <w:r>
        <w:t xml:space="preserve"> </w:t>
      </w:r>
      <w:r>
        <w:t xml:space="preserve">Colombia,</w:t>
      </w:r>
      <w:r>
        <w:t xml:space="preserve"> </w:t>
      </w:r>
      <w:r>
        <w:t xml:space="preserve">Medellín</w:t>
      </w:r>
    </w:p>
    <w:bookmarkStart w:id="28" w:name="Xd0fdeb2cc71f57ac044c8aaf3d127c3ea9ae6fd"/>
    <w:p>
      <w:pPr>
        <w:pStyle w:val="Heading1"/>
      </w:pPr>
      <w:r>
        <w:t xml:space="preserve">A Strategic Analysis of Mason’s Market Penetration in Colombia, Medellín</w:t>
      </w:r>
    </w:p>
    <w:p>
      <w:pPr>
        <w:pStyle w:val="FirstParagraph"/>
      </w:pPr>
      <w:r>
        <w:t xml:space="preserve">Prepared for Corporate Strategic Planning Division</w:t>
      </w:r>
      <w:r>
        <w:br/>
      </w:r>
      <w:r>
        <w:t xml:space="preserve">Date: May 24, 2024</w:t>
      </w:r>
    </w:p>
    <w:bookmarkStart w:id="20" w:name="i.-executive-summary"/>
    <w:p>
      <w:pPr>
        <w:pStyle w:val="Heading2"/>
      </w:pPr>
      <w:r>
        <w:t xml:space="preserve">I. Executive Summary</w:t>
      </w:r>
    </w:p>
    <w:p>
      <w:pPr>
        <w:pStyle w:val="FirstParagraph"/>
      </w:pPr>
      <w:r>
        <w:t xml:space="preserve">This research paper provides a comprehensive analysis of the strategic viability for "Mason," defined herein as a specialized construction and architectural design firm with expertise in sustainable urban development, to establish operations in Colombia, specifically within the city of Medellín. As global markets seek resilient infrastructure solutions amidst climate change and rapid urbanization, Colombia has emerged as an economic beacon in Latin America. This document argues that Medellín presents a unique confluence of geographic advantage, demographic dynamism, and infrastructural ambition that aligns perfectly with Mason’s core competencies. However, success requires navigating specific regulatory frameworks and leveraging local partnerships.</w:t>
      </w:r>
    </w:p>
    <w:bookmarkEnd w:id="20"/>
    <w:bookmarkStart w:id="21" w:name="X190bd38e024e34eac1584600fd7f8fd4b7445e6"/>
    <w:p>
      <w:pPr>
        <w:pStyle w:val="Heading2"/>
      </w:pPr>
      <w:r>
        <w:t xml:space="preserve">II. Introduction: The Context of Urban Transformation</w:t>
      </w:r>
    </w:p>
    <w:p>
      <w:pPr>
        <w:pStyle w:val="FirstParagraph"/>
      </w:pPr>
      <w:r>
        <w:t xml:space="preserve">Medellín has undergone one of the most remarkable urban transformations in history over the last two decades. Once infamous for violence, the city has rebranded itself as a hub of innovation, technology, and social urbanism. For a firm like Mason, which prioritizes community-centric design and structural integrity, this environment offers an unparalleled laboratory for implementation. The shift from industrial reliance to knowledge-based services in Colombia has created a demand for modern office spaces, sustainable residential complexes, and mixed-use developments that integrate seamlessly with the mountainous topography of the Aburrá Valley.</w:t>
      </w:r>
      <w:r>
        <w:t xml:space="preserve"> </w:t>
      </w:r>
      <w:r>
        <w:t xml:space="preserve">The term "Mason" evokes connotations of craftsmanship, reliability, and foundational strength. In the context of this expansion, Mason must embody these values not just in physical construction but in its approach to corporate social responsibility and community engagement. The local population is increasingly aware of environmental impacts and urban planning quality, making them receptive to international standards embodied by Mason’s brand identity.</w:t>
      </w:r>
    </w:p>
    <w:bookmarkEnd w:id="21"/>
    <w:bookmarkStart w:id="22" w:name="iii.-economic-landscape-of-colombia"/>
    <w:p>
      <w:pPr>
        <w:pStyle w:val="Heading2"/>
      </w:pPr>
      <w:r>
        <w:t xml:space="preserve">III. Economic Landscape of Colombia</w:t>
      </w:r>
    </w:p>
    <w:p>
      <w:pPr>
        <w:pStyle w:val="FirstParagraph"/>
      </w:pPr>
      <w:r>
        <w:t xml:space="preserve">Colombia represents the fourth-largest economy in Latin America, characterized by a growing middle class and increasing foreign direct investment (FDI). The macroeconomic stability provided by sound fiscal policies has attracted multinational corporations looking to expand their regional headquarters. This influx of international business creates immediate demand for high-quality commercial real estate and office infrastructure—key sectors for Mason.</w:t>
      </w:r>
      <w:r>
        <w:t xml:space="preserve"> </w:t>
      </w:r>
      <w:r>
        <w:t xml:space="preserve">Furthermore, the Colombian government’s "National Development Plan" emphasizes infrastructure modernization as a driver of economic growth. With significant public and private capital allocated to transportation networks, energy projects, and urban renewal initiatives, the market conditions are ripe for entry. For Mason Colombia Medellín operations to thrive, it must position itself not merely as a contractor but as a strategic partner in national development goals. The currency exchange rates have also shown relative stability against the US dollar in recent quarters, offering favorable financial planning opportunities for international investors establishing local entities.</w:t>
      </w:r>
    </w:p>
    <w:bookmarkEnd w:id="22"/>
    <w:bookmarkStart w:id="23" w:name="X47a09be103fa44536e8f03b1e8d0f2daa5fd24c"/>
    <w:p>
      <w:pPr>
        <w:pStyle w:val="Heading2"/>
      </w:pPr>
      <w:r>
        <w:t xml:space="preserve">IV. The Medellín Opportunity: Infrastructure and Innovation</w:t>
      </w:r>
    </w:p>
    <w:p>
      <w:pPr>
        <w:pStyle w:val="FirstParagraph"/>
      </w:pPr>
      <w:r>
        <w:t xml:space="preserve">Medellín is often cited as a global case study in urban innovation. Projects such as the Metrocable gondola system and the Metroplús bus rapid transit system demonstrate a commitment to integrating marginalized communities into the formal city fabric. For Mason, this presents a specialized niche: designing structures that are both architecturally stunning and socially inclusive. The city’s topography requires innovative engineering solutions for steep slopes, a challenge that aligns with Mason’s reputation for complex structural problem-solving.</w:t>
      </w:r>
      <w:r>
        <w:t xml:space="preserve"> </w:t>
      </w:r>
      <w:r>
        <w:t xml:space="preserve">Additionally, Medellín is rapidly becoming the "Silicon Valley of Latin America." The proliferation of co-working spaces, tech hubs, and innovation centers requires modern facilities that incorporate smart building technologies. Mason can leverage its expertise to retrofit existing colonial structures while simultaneously constructing new green-certified buildings. This duality allows Mason to serve both heritage preservation projects and cutting-edge corporate developments, diversifying its revenue streams within the local market.</w:t>
      </w:r>
    </w:p>
    <w:bookmarkEnd w:id="23"/>
    <w:bookmarkStart w:id="24" w:name="Xf344e70d3e738b51c06cb9614aa41a076073ac8"/>
    <w:p>
      <w:pPr>
        <w:pStyle w:val="Heading2"/>
      </w:pPr>
      <w:r>
        <w:t xml:space="preserve">V. Regulatory Environment and Legal Considerations</w:t>
      </w:r>
    </w:p>
    <w:p>
      <w:pPr>
        <w:pStyle w:val="FirstParagraph"/>
      </w:pPr>
      <w:r>
        <w:t xml:space="preserve">Entering the Colombian market requires a nuanced understanding of its legal framework. The construction sector in Colombia is governed by strict building codes (Normas Sísmicas Resistentes) due to seismic activity in the region. Mason must ensure that all designs comply with these rigorous safety standards, which may require collaboration with local engineering firms licensed by the relevant authorities.</w:t>
      </w:r>
      <w:r>
        <w:t xml:space="preserve"> </w:t>
      </w:r>
      <w:r>
        <w:t xml:space="preserve">Moreover, foreign investment regulations have been liberalized to encourage entrepreneurship. Establishing a local subsidiary or joint venture in Medellín allows Mason to bypass certain restrictions on land ownership and access public bidding processes. It is imperative that Mason conducts thorough due diligence regarding tax implications, labor laws, and environmental permits. The "Urgency Decree" mechanisms can accelerate project approvals if aligned with national priority projects, providing a competitive advantage for firms that navigate bureaucracy efficiently.</w:t>
      </w:r>
    </w:p>
    <w:bookmarkEnd w:id="24"/>
    <w:bookmarkStart w:id="25" w:name="vi.-social-dynamics-and-human-capital"/>
    <w:p>
      <w:pPr>
        <w:pStyle w:val="Heading2"/>
      </w:pPr>
      <w:r>
        <w:t xml:space="preserve">VI. Social Dynamics and Human Capital</w:t>
      </w:r>
    </w:p>
    <w:p>
      <w:pPr>
        <w:pStyle w:val="FirstParagraph"/>
      </w:pPr>
      <w:r>
        <w:t xml:space="preserve">Medellín possesses a young, educated workforce with strong skills in engineering, architecture, and project management. Local universities produce graduates who are increasingly fluent in English and familiar with international best practices. By hiring locally, Mason can reduce operational costs while fostering goodwill within the community—a critical factor for long-term sustainability.</w:t>
      </w:r>
      <w:r>
        <w:t xml:space="preserve"> </w:t>
      </w:r>
      <w:r>
        <w:t xml:space="preserve">However, cultural integration is vital. Business culture in Colombia is relationship-based; trust is established through personal interaction and respect for local customs ("cordialidad"). Mason’s expansion strategy must include robust training programs focused on cross-cultural communication and local business etiquette. Furthermore, engaging with local community leaders can mitigate potential opposition to new developments by demonstrating a commitment to improving the quality of life in surrounding neighborhoods.</w:t>
      </w:r>
    </w:p>
    <w:bookmarkEnd w:id="25"/>
    <w:bookmarkStart w:id="26" w:name="vii.-competitive-landscape"/>
    <w:p>
      <w:pPr>
        <w:pStyle w:val="Heading2"/>
      </w:pPr>
      <w:r>
        <w:t xml:space="preserve">VII. Competitive Landscape</w:t>
      </w:r>
    </w:p>
    <w:p>
      <w:pPr>
        <w:pStyle w:val="FirstParagraph"/>
      </w:pPr>
      <w:r>
        <w:t xml:space="preserve">The construction and architecture market in Medellín is competitive, dominated by established national firms such as Grupo Argos and various international players already present in the region. However, there is a gap in the market for specialized firms that combine sustainable design with high-end craftsmanship—areas where Mason excels. By differentiating itself through eco-friendly materials, energy-efficient systems, and bespoke architectural detailing, Mason can carve out a premium market segment.</w:t>
      </w:r>
      <w:r>
        <w:t xml:space="preserve"> </w:t>
      </w:r>
      <w:r>
        <w:t xml:space="preserve">Strategic alliances with local developers who possess land assets but lack advanced technical capabilities can provide immediate entry points into the market. These partnerships allow Mason to focus on its core competencies while mitigating the risks associated with land acquisition and initial capital outlay.</w:t>
      </w:r>
    </w:p>
    <w:bookmarkEnd w:id="26"/>
    <w:bookmarkStart w:id="27" w:name="viii.-conclusion-and-recommendations"/>
    <w:p>
      <w:pPr>
        <w:pStyle w:val="Heading2"/>
      </w:pPr>
      <w:r>
        <w:t xml:space="preserve">VIII. Conclusion and Recommendations</w:t>
      </w:r>
    </w:p>
    <w:p>
      <w:pPr>
        <w:pStyle w:val="FirstParagraph"/>
      </w:pPr>
      <w:r>
        <w:t xml:space="preserve">The expansion of Mason into Colombia, specifically Medellín, represents a high-potential strategic opportunity driven by economic growth, urban innovation, and infrastructure demand. The city’s successful transformation provides a compelling narrative that aligns with Mason’s brand values of resilience and craftsmanship. To succeed, Mason must adopt a hybrid approach: maintaining international standards while deeply integrating into the local economic and social fabric.</w:t>
      </w:r>
      <w:r>
        <w:t xml:space="preserve"> </w:t>
      </w:r>
      <w:r>
        <w:t xml:space="preserve">Recommendations include:</w:t>
      </w:r>
      <w:r>
        <w:t xml:space="preserve"> </w:t>
      </w:r>
      <w:r>
        <w:t xml:space="preserve">1. Establishing a legal entity in Medellín within the next fiscal quarter to capitalize on current incentives.</w:t>
      </w:r>
      <w:r>
        <w:t xml:space="preserve"> </w:t>
      </w:r>
      <w:r>
        <w:t xml:space="preserve">2. Forming joint ventures with local engineering firms to ensure compliance with seismic and zoning regulations.</w:t>
      </w:r>
      <w:r>
        <w:t xml:space="preserve"> </w:t>
      </w:r>
      <w:r>
        <w:t xml:space="preserve">3. Initiating pilot projects focused on sustainable retrofitting of existing buildings to demonstrate Mason’s commitment to environmental stewardship.</w:t>
      </w:r>
      <w:r>
        <w:t xml:space="preserve"> </w:t>
      </w:r>
      <w:r>
        <w:t xml:space="preserve">By leveraging Medellín’s dynamic ecosystem, Mason can solidify its position as a leader in sustainable urban development, setting a benchmark for future expansions across Latin America. The time for entry is now, before the market becomes saturated by competitors who may lack the specific value proposition that Mason brings to Colombia’s evolving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 Entry Analysis: Mason’s Expansion into Colombia, Medellín</dc:title>
  <dc:creator/>
  <cp:keywords/>
  <dcterms:created xsi:type="dcterms:W3CDTF">2026-07-29T15:35:45Z</dcterms:created>
  <dcterms:modified xsi:type="dcterms:W3CDTF">2026-07-29T15:35:45Z</dcterms:modified>
</cp:coreProperties>
</file>

<file path=docProps/custom.xml><?xml version="1.0" encoding="utf-8"?>
<Properties xmlns="http://schemas.openxmlformats.org/officeDocument/2006/custom-properties" xmlns:vt="http://schemas.openxmlformats.org/officeDocument/2006/docPropsVTypes"/>
</file>