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Mathematical</w:t>
      </w:r>
      <w:r>
        <w:t xml:space="preserve"> </w:t>
      </w:r>
      <w:r>
        <w:t xml:space="preserve">Heritage</w:t>
      </w:r>
      <w:r>
        <w:t xml:space="preserve"> </w:t>
      </w:r>
      <w:r>
        <w:t xml:space="preserve">and</w:t>
      </w:r>
      <w:r>
        <w:t xml:space="preserve"> </w:t>
      </w:r>
      <w:r>
        <w:t xml:space="preserve">Contemporary</w:t>
      </w:r>
      <w:r>
        <w:t xml:space="preserve"> </w:t>
      </w:r>
      <w:r>
        <w:t xml:space="preserve">Impact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Mathematical Heritage and Contemporary Impact in United Kingdom Birmingham</dc:title>
  <dc:creator/>
  <dc:language>en</dc:language>
  <cp:keywords/>
  <dcterms:created xsi:type="dcterms:W3CDTF">2026-07-29T14:07:13Z</dcterms:created>
  <dcterms:modified xsi:type="dcterms:W3CDTF">2026-07-29T14:07:13Z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