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Mathematical</w:t>
      </w:r>
      <w:r>
        <w:t xml:space="preserve"> </w:t>
      </w:r>
      <w:r>
        <w:t xml:space="preserve">Heritage</w:t>
      </w:r>
      <w:r>
        <w:t xml:space="preserve"> </w:t>
      </w:r>
      <w:r>
        <w:t xml:space="preserve">and</w:t>
      </w:r>
      <w:r>
        <w:t xml:space="preserve"> </w:t>
      </w:r>
      <w:r>
        <w:t xml:space="preserve">Contemporary</w:t>
      </w:r>
      <w:r>
        <w:t xml:space="preserve"> </w:t>
      </w:r>
      <w:r>
        <w:t xml:space="preserve">Impact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Birmingham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Mathematical Heritage and Contemporary Impact in United Kingdom Birmingham</dc:title>
  <dc:creator/>
  <dc:language>en</dc:language>
  <cp:keywords/>
  <dcterms:created xsi:type="dcterms:W3CDTF">2026-09-27T11:52:48Z</dcterms:created>
  <dcterms:modified xsi:type="dcterms:W3CDTF">2026-09-27T11:52:48Z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