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Mathematical</w:t>
      </w:r>
      <w:r>
        <w:t xml:space="preserve"> </w:t>
      </w:r>
      <w:r>
        <w:t xml:space="preserve">Heritage</w:t>
      </w:r>
      <w:r>
        <w:t xml:space="preserve"> </w:t>
      </w:r>
      <w:r>
        <w:t xml:space="preserve">and</w:t>
      </w:r>
      <w:r>
        <w:t xml:space="preserve"> </w:t>
      </w:r>
      <w:r>
        <w:t xml:space="preserve">Contemporary</w:t>
      </w:r>
      <w:r>
        <w:t xml:space="preserve"> </w:t>
      </w:r>
      <w:r>
        <w:t xml:space="preserve">Impact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Mathematical Heritage and Contemporary Impact in United Kingdom Birmingham</dc:title>
  <dc:creator/>
  <dc:language>en</dc:language>
  <cp:keywords/>
  <dcterms:created xsi:type="dcterms:W3CDTF">2026-09-28T02:32:29Z</dcterms:created>
  <dcterms:modified xsi:type="dcterms:W3CDTF">2026-09-28T02:32:29Z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