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Healthcare</w:t>
      </w:r>
      <w:r>
        <w:t xml:space="preserve"> </w:t>
      </w:r>
      <w:r>
        <w:t xml:space="preserve">in</w:t>
      </w:r>
      <w:r>
        <w:t xml:space="preserve"> </w:t>
      </w:r>
      <w:r>
        <w:t xml:space="preserve">Australia</w:t>
      </w:r>
      <w:r>
        <w:t xml:space="preserve"> </w:t>
      </w:r>
      <w:r>
        <w:t xml:space="preserve">Brisbane</w:t>
      </w:r>
    </w:p>
    <w:bookmarkStart w:id="33" w:name="X52f0d878a7256d55cb1056f310a606c8c893ecc"/>
    <w:p>
      <w:pPr>
        <w:pStyle w:val="Heading1"/>
      </w:pPr>
      <w:r>
        <w:t xml:space="preserve">The Role of the Medical Researcher in Advancing Healthcare in Australia Brisbane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Australia Brisbane</w:t>
      </w:r>
      <w:r>
        <w:br/>
      </w:r>
      <w:r>
        <w:rPr>
          <w:iCs/>
          <w:i/>
        </w:rPr>
        <w:t xml:space="preserve">A Comprehensive Analysis of Clinical Innovation, Public Health Strategy, and Ethical Stewardship</w:t>
      </w:r>
    </w:p>
    <w:p>
      <w:r>
        <w:pict>
          <v:rect style="width:0;height:1.5pt" o:hralign="center" o:hrstd="t" o:hr="t"/>
        </w:pict>
      </w:r>
    </w:p>
    <w:bookmarkStart w:id="20" w:name="abstract"/>
    <w:p>
      <w:pPr>
        <w:pStyle w:val="Heading2"/>
      </w:pPr>
      <w:r>
        <w:t xml:space="preserve">Abstract</w:t>
      </w:r>
    </w:p>
    <w:p>
      <w:pPr>
        <w:pStyle w:val="FirstParagraph"/>
      </w:pPr>
      <w:r>
        <w:t xml:space="preserve">This document serves as a critical examination of the contemporary landscape for the medical researcher operating within the specific socio-geographical context of Australia Brisbane. As healthcare systems globally face unprecedented pressures regarding aging demographics, chronic disease prevalence, and emerging infectious threats, the pivotal role of rigorous scientific inquiry becomes increasingly apparent. This paper explores how medical researchers in Australia Brisbane are uniquely positioned to leverage local epidemiological data, collaborate with premier health institutions such as the Royal Children’s Hospital Research Foundation and The Prince Charles Hospital research units, and influence national policy. By analyzing the intersection of clinical practice, basic science, and public health implementation, this document underscores the necessity of sustained funding and ethical governance in fostering a robust research ecosystem.</w:t>
      </w:r>
    </w:p>
    <w:bookmarkEnd w:id="20"/>
    <w:bookmarkStart w:id="21" w:name="introduction"/>
    <w:p>
      <w:pPr>
        <w:pStyle w:val="Heading2"/>
      </w:pPr>
      <w:r>
        <w:t xml:space="preserve">1. Introduction</w:t>
      </w:r>
    </w:p>
    <w:p>
      <w:pPr>
        <w:pStyle w:val="FirstParagraph"/>
      </w:pPr>
      <w:r>
        <w:t xml:space="preserve">The medical researcher stands at the forefront of modern medicine, bridging the gap between theoretical biological understanding and tangible patient outcomes. In Australia Brisbane, this role is not merely academic but profoundly practical and community-oriented. The city has established itself as a burgeoning hub for biomedical innovation in the Asia-Pacific region. However, the effectiveness of a medical researcher depends heavily on their ability to navigate complex regulatory frameworks, secure interdisciplinary collaboration, and address health disparities specific to Queensland’s population.</w:t>
      </w:r>
    </w:p>
    <w:p>
      <w:pPr>
        <w:pStyle w:val="BodyText"/>
      </w:pPr>
      <w:r>
        <w:t xml:space="preserve">This paper argues that the medical researcher in Australia Brisbane is essential for driving forward solutions to distinct local health challenges while contributing to global knowledge. From tropical medicine nuances prevalent in Northern Queensland extending down through South East Queensland, to urban lifestyle-related chronic conditions, the scope of inquiry required is vast and varied.</w:t>
      </w:r>
    </w:p>
    <w:bookmarkEnd w:id="21"/>
    <w:bookmarkStart w:id="22" w:name="X57d51a4b7e4b6036ad1c27ed81bfe609c5d03eb"/>
    <w:p>
      <w:pPr>
        <w:pStyle w:val="Heading2"/>
      </w:pPr>
      <w:r>
        <w:t xml:space="preserve">2. The Strategic Importance of Location: Australia Brisbane</w:t>
      </w:r>
    </w:p>
    <w:p>
      <w:pPr>
        <w:pStyle w:val="FirstParagraph"/>
      </w:pPr>
      <w:r>
        <w:t xml:space="preserve">The geographical and institutional setting of Australia Brisbane offers unique advantages for medical research. Firstly, the concentration of university-affiliated teaching hospitals creates an ideal "bench-to-bedside" environment. Institutions such as the University of Queensland (UQ) and Griffith University maintain strong synergies with public health networks, allowing medical researchers immediate access to clinical cohorts and patient populations.</w:t>
      </w:r>
    </w:p>
    <w:p>
      <w:pPr>
        <w:pStyle w:val="BodyText"/>
      </w:pPr>
      <w:r>
        <w:t xml:space="preserve">Furthermore, Australia Brisbane serves as a gateway to tropical disease research. While not exclusively a tropical zone, its proximity allows for comparative studies on vector-borne diseases and environmental health impacts that are relevant across the broader Pacific region. Medical researchers based here can lead multinational trials, leveraging the state’s favorable time zones for coordination with Asia-Pacific partners.</w:t>
      </w:r>
    </w:p>
    <w:p>
      <w:pPr>
        <w:pStyle w:val="BodyText"/>
      </w:pPr>
      <w:r>
        <w:t xml:space="preserve">Additionally, the local government in Queensland has prioritized economic development through health science clusters. This political will translates into infrastructure investment and grant opportunities that empower medical researchers to pursue high-risk, high-reward innovations that might be stifled in more conservative funding environments.</w:t>
      </w:r>
    </w:p>
    <w:bookmarkEnd w:id="22"/>
    <w:bookmarkStart w:id="26" w:name="X48fa744b5444ac196d02475e5cda36b0cff2160"/>
    <w:p>
      <w:pPr>
        <w:pStyle w:val="Heading2"/>
      </w:pPr>
      <w:r>
        <w:t xml:space="preserve">3. Key Areas of Focus for Medical Researchers</w:t>
      </w:r>
    </w:p>
    <w:bookmarkStart w:id="23" w:name="chronic-disease-management"/>
    <w:p>
      <w:pPr>
        <w:pStyle w:val="Heading3"/>
      </w:pPr>
      <w:r>
        <w:t xml:space="preserve">3.1 Chronic Disease Management</w:t>
      </w:r>
    </w:p>
    <w:p>
      <w:pPr>
        <w:pStyle w:val="FirstParagraph"/>
      </w:pPr>
      <w:r>
        <w:t xml:space="preserve">A significant burden of disease in Australia Brisbane relates to non-communicable diseases, including cardiovascular conditions, diabetes, and respiratory ailments exacerbated by urban air quality and lifestyle factors. Medical researchers are tasked with developing longitudinal studies to identify genetic predispositions combined with environmental triggers. Interventions developed by these researchers often inform national guidelines published by the National Health and Medical Research Council (NHMRC).</w:t>
      </w:r>
    </w:p>
    <w:bookmarkEnd w:id="23"/>
    <w:bookmarkStart w:id="24" w:name="Xc7b9b394b90928151ac1002b8cdee46e0310d30"/>
    <w:p>
      <w:pPr>
        <w:pStyle w:val="Heading3"/>
      </w:pPr>
      <w:r>
        <w:t xml:space="preserve">3.2 Infectious Diseases and Pandemic Preparedness</w:t>
      </w:r>
    </w:p>
    <w:p>
      <w:pPr>
        <w:pStyle w:val="FirstParagraph"/>
      </w:pPr>
      <w:r>
        <w:t xml:space="preserve">The global pandemic experience highlighted the critical need for agile research capabilities. In Australia Brisbane, medical researchers played a central role in vaccine development, variant tracking, and public health modeling. Future preparedness requires continued investment in genomic sequencing infrastructure and rapid response teams that can mobilize during emerging outbreaks.</w:t>
      </w:r>
    </w:p>
    <w:bookmarkEnd w:id="24"/>
    <w:bookmarkStart w:id="25" w:name="mental-health-research"/>
    <w:p>
      <w:pPr>
        <w:pStyle w:val="Heading3"/>
      </w:pPr>
      <w:r>
        <w:t xml:space="preserve">3.3 Mental Health Research</w:t>
      </w:r>
    </w:p>
    <w:p>
      <w:pPr>
        <w:pStyle w:val="FirstParagraph"/>
      </w:pPr>
      <w:r>
        <w:t xml:space="preserve">Mental health constitutes a growing crisis in Queensland. Medical researchers are increasingly focusing on neurobiological markers of mental illness and the efficacy of digital therapeutic interventions. Brisbane-based centers have pioneered telehealth research models, which are now being scaled nationally to improve access for rural and remote populations.</w:t>
      </w:r>
    </w:p>
    <w:bookmarkEnd w:id="25"/>
    <w:bookmarkEnd w:id="26"/>
    <w:bookmarkStart w:id="27" w:name="X8b92fa1db1a495699394a3c0d92a27ef1a231a6"/>
    <w:p>
      <w:pPr>
        <w:pStyle w:val="Heading2"/>
      </w:pPr>
      <w:r>
        <w:t xml:space="preserve">4. Ethical Considerations and Regulatory Compliance</w:t>
      </w:r>
    </w:p>
    <w:p>
      <w:pPr>
        <w:pStyle w:val="FirstParagraph"/>
      </w:pPr>
      <w:r>
        <w:t xml:space="preserve">The work of a medical researcher is bound by strict ethical standards designed to protect human subjects. In Australia Brisbane, adherence to the National Statement on Ethical Conduct in Human Research is mandatory. Medical researchers must secure approval from Human Research Ethics Committees (HRECs) before initiating any study involving human participants.</w:t>
      </w:r>
    </w:p>
    <w:p>
      <w:pPr>
        <w:pStyle w:val="BodyText"/>
      </w:pPr>
      <w:r>
        <w:t xml:space="preserve">Special care must be taken when conducting research involving Indigenous communities, who have historically suffered from medical exploitation. Culturally safe research practices, co-design with community leaders, and benefit-sharing are non-negotiable aspects of ethical practice for any medical researcher operating in this region. Furthermore, the protection of sensitive health data under the Privacy Act 1988 (Cth) requires rigorous cybersecurity measures.</w:t>
      </w:r>
    </w:p>
    <w:bookmarkEnd w:id="27"/>
    <w:bookmarkStart w:id="28" w:name="challenges-facing-medical-researchers"/>
    <w:p>
      <w:pPr>
        <w:pStyle w:val="Heading2"/>
      </w:pPr>
      <w:r>
        <w:t xml:space="preserve">5. Challenges Facing Medical Researchers</w:t>
      </w:r>
    </w:p>
    <w:p>
      <w:pPr>
        <w:pStyle w:val="FirstParagraph"/>
      </w:pPr>
      <w:r>
        <w:t xml:space="preserve">Despite the supportive environment, medical researchers face significant hurdles. Funding volatility remains a primary concern, with reliance on competitive grants creating uncertainty for long-term projects. There is also a growing burden of administrative compliance that detracts from actual scientific inquiry.</w:t>
      </w:r>
    </w:p>
    <w:p>
      <w:pPr>
        <w:pStyle w:val="BodyText"/>
      </w:pPr>
      <w:r>
        <w:rPr>
          <w:iCs/>
          <w:i/>
        </w:rPr>
        <w:t xml:space="preserve">To mitigate this:</w:t>
      </w:r>
    </w:p>
    <w:p>
      <w:pPr>
        <w:numPr>
          <w:ilvl w:val="0"/>
          <w:numId w:val="1001"/>
        </w:numPr>
        <w:pStyle w:val="Compact"/>
      </w:pPr>
      <w:r>
        <w:rPr>
          <w:bCs/>
          <w:b/>
        </w:rPr>
        <w:t xml:space="preserve">Diversified Funding Models:</w:t>
      </w:r>
      <w:r>
        <w:t xml:space="preserve"> </w:t>
      </w:r>
      <w:r>
        <w:t xml:space="preserve">Medical researchers should seek partnerships with private industry and philanthropic organizations, in addition to government grants.</w:t>
      </w:r>
    </w:p>
    <w:p>
      <w:pPr>
        <w:numPr>
          <w:ilvl w:val="0"/>
          <w:numId w:val="1001"/>
        </w:numPr>
        <w:pStyle w:val="Compact"/>
      </w:pPr>
      <w:r>
        <w:rPr>
          <w:bCs/>
          <w:b/>
        </w:rPr>
        <w:t xml:space="preserve">Tech Integration:</w:t>
      </w:r>
      <w:r>
        <w:t xml:space="preserve"> </w:t>
      </w:r>
      <w:r>
        <w:t xml:space="preserve">Utilizing AI-driven data analysis can streamline administrative tasks and enhance the speed of discovery.</w:t>
      </w:r>
    </w:p>
    <w:p>
      <w:pPr>
        <w:numPr>
          <w:ilvl w:val="0"/>
          <w:numId w:val="1001"/>
        </w:numPr>
        <w:pStyle w:val="Compact"/>
      </w:pPr>
      <w:r>
        <w:rPr>
          <w:bCs/>
          <w:b/>
        </w:rPr>
        <w:t xml:space="preserve">Mentorship Structures:</w:t>
      </w:r>
      <w:r>
        <w:t xml:space="preserve"> </w:t>
      </w:r>
      <w:r>
        <w:t xml:space="preserve">Establishing robust mentorship programs ensures that early-career medical researchers gain the skills necessary to navigate regulatory landscapes effectively.</w:t>
      </w:r>
    </w:p>
    <w:bookmarkEnd w:id="28"/>
    <w:bookmarkStart w:id="29" w:name="the-impact-on-policy-and-public-health"/>
    <w:p>
      <w:pPr>
        <w:pStyle w:val="Heading2"/>
      </w:pPr>
      <w:r>
        <w:t xml:space="preserve">6. The Impact on Policy and Public Health</w:t>
      </w:r>
    </w:p>
    <w:p>
      <w:pPr>
        <w:pStyle w:val="FirstParagraph"/>
      </w:pPr>
      <w:r>
        <w:t xml:space="preserve">The ultimate value of a medical researcher lies in the translation of findings into policy. In Australia Brisbane, health policy makers increasingly rely on evidence generated by local researchers to allocate resources efficiently. For instance, data regarding smoking rates or obesity trends directly influences taxation policies and public awareness campaigns.</w:t>
      </w:r>
    </w:p>
    <w:p>
      <w:pPr>
        <w:pStyle w:val="BodyText"/>
      </w:pPr>
      <w:r>
        <w:t xml:space="preserve">Medical researchers must therefore engage in science communication, translating complex statistical data into accessible information for the general public and policymakers alike. This dissemination is crucial for building trust in science, particularly during times of health crisis.</w:t>
      </w:r>
    </w:p>
    <w:bookmarkEnd w:id="29"/>
    <w:bookmarkStart w:id="30" w:name="conclusion"/>
    <w:p>
      <w:pPr>
        <w:pStyle w:val="Heading2"/>
      </w:pPr>
      <w:r>
        <w:t xml:space="preserve">7. Conclusion</w:t>
      </w:r>
    </w:p>
    <w:p>
      <w:pPr>
        <w:pStyle w:val="FirstParagraph"/>
      </w:pPr>
      <w:r>
        <w:t xml:space="preserve">In summary, the medical researcher is an indispensable component of the healthcare infrastructure in Australia Brisbane. Their work drives innovation, improves patient outcomes, and informs policy decisions that affect millions of lives. By capitalizing on the unique regional strengths of Queensland while adhering to rigorous ethical standards, medical researchers can address both local health disparities and global biomedical challenges.</w:t>
      </w:r>
    </w:p>
    <w:p>
      <w:pPr>
        <w:pStyle w:val="BodyText"/>
      </w:pPr>
      <w:r>
        <w:t xml:space="preserve">It is imperative that stakeholders—including government bodies, healthcare institutions, and the private sector—continue to invest in this vital profession. Strengthening the capabilities of the medical researcher in Australia Brisbane will not only enhance regional health outcomes but also solidify Australia’s standing as a leader in global medical science.</w:t>
      </w:r>
    </w:p>
    <w:bookmarkEnd w:id="30"/>
    <w:bookmarkStart w:id="32" w:name="recommendations"/>
    <w:p>
      <w:pPr>
        <w:pStyle w:val="Heading2"/>
      </w:pPr>
      <w:r>
        <w:t xml:space="preserve">8. Recommendations</w:t>
      </w:r>
    </w:p>
    <w:p>
      <w:pPr>
        <w:numPr>
          <w:ilvl w:val="0"/>
          <w:numId w:val="1002"/>
        </w:numPr>
        <w:pStyle w:val="Compact"/>
      </w:pPr>
      <w:r>
        <w:rPr>
          <w:bCs/>
          <w:b/>
        </w:rPr>
        <w:t xml:space="preserve">Increase Base Funding:</w:t>
      </w:r>
      <w:r>
        <w:t xml:space="preserve"> </w:t>
      </w:r>
      <w:r>
        <w:t xml:space="preserve">The Queensland Government should increase stable, block funding for major research institutes to reduce reliance on volatile grant cycles.</w:t>
      </w:r>
    </w:p>
    <w:p>
      <w:pPr>
        <w:numPr>
          <w:ilvl w:val="0"/>
          <w:numId w:val="1002"/>
        </w:numPr>
        <w:pStyle w:val="Compact"/>
      </w:pPr>
      <w:r>
        <w:rPr>
          <w:bCs/>
          <w:b/>
        </w:rPr>
        <w:t xml:space="preserve">Enhance Data Interoperability:</w:t>
      </w:r>
      <w:r>
        <w:t xml:space="preserve"> </w:t>
      </w:r>
      <w:r>
        <w:t xml:space="preserve">Create secure, standardized data-sharing protocols between hospitals and universities in Australia Brisbane to facilitate larger cohort studies.</w:t>
      </w:r>
    </w:p>
    <w:p>
      <w:pPr>
        <w:numPr>
          <w:ilvl w:val="0"/>
          <w:numId w:val="1002"/>
        </w:numPr>
        <w:pStyle w:val="Compact"/>
      </w:pPr>
      <w:r>
        <w:t xml:space="preserve">Promote Public Engagement:: Launch initiatives to educate the public on the importance of medical research participation, improving recruitment rates for clinical trials.</w:t>
      </w:r>
    </w:p>
    <w:p>
      <w:r>
        <w:pict>
          <v:rect style="width:0;height:1.5pt" o:hralign="center" o:hrstd="t" o:hr="t"/>
        </w:pict>
      </w:r>
    </w:p>
    <w:bookmarkStart w:id="31" w:name="references-and-further-reading"/>
    <w:p>
      <w:pPr>
        <w:pStyle w:val="Heading3"/>
      </w:pPr>
      <w:r>
        <w:t xml:space="preserve">References and Further Reading</w:t>
      </w:r>
    </w:p>
    <w:p>
      <w:pPr>
        <w:numPr>
          <w:ilvl w:val="0"/>
          <w:numId w:val="1003"/>
        </w:numPr>
        <w:pStyle w:val="Compact"/>
      </w:pPr>
      <w:r>
        <w:t xml:space="preserve">National Health and Medical Research Council (NHMRC). (2018). National Statement on Ethical Conduct in Human Research. Canberra: NHMRC.</w:t>
      </w:r>
    </w:p>
    <w:p>
      <w:pPr>
        <w:numPr>
          <w:ilvl w:val="0"/>
          <w:numId w:val="1003"/>
        </w:numPr>
        <w:pStyle w:val="Compact"/>
      </w:pPr>
      <w:r>
        <w:t xml:space="preserve">Queensland Health. (2021). Queensland Clinical Guidelines: Evidence-based guidelines for the clinical management of patients with specific diseases.</w:t>
      </w:r>
    </w:p>
    <w:p>
      <w:pPr>
        <w:numPr>
          <w:ilvl w:val="0"/>
          <w:numId w:val="1003"/>
        </w:numPr>
        <w:pStyle w:val="Compact"/>
      </w:pPr>
      <w:r>
        <w:t xml:space="preserve">The University of Queensland, Institute for Molecular Bioscience. (2023). Annual Report on Biomedical Innovations in South East Queensland.</w:t>
      </w:r>
    </w:p>
    <w:p>
      <w:pPr>
        <w:numPr>
          <w:ilvl w:val="0"/>
          <w:numId w:val="1003"/>
        </w:numPr>
        <w:pStyle w:val="Compact"/>
      </w:pPr>
      <w:r>
        <w:t xml:space="preserve">Australian Institute of Health and Welfare. (2022). The Impact of Chronic Disease in Urban vs. Rural Communities across Australia.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Healthcare in Australia Brisbane</dc:title>
  <dc:creator/>
  <dc:language>en</dc:language>
  <cp:keywords/>
  <dcterms:created xsi:type="dcterms:W3CDTF">2026-07-29T19:39:56Z</dcterms:created>
  <dcterms:modified xsi:type="dcterms:W3CDTF">2026-07-29T19:39:56Z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