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Canadian</w:t>
      </w:r>
      <w:r>
        <w:t xml:space="preserve"> </w:t>
      </w:r>
      <w:r>
        <w:t xml:space="preserve">Healthcare</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Vancouver</w:t>
      </w:r>
    </w:p>
    <w:bookmarkStart w:id="35" w:name="Xdb8b0a7b474930a4ed6a3c40220d0a25e8515f6"/>
    <w:p>
      <w:pPr>
        <w:pStyle w:val="Heading1"/>
      </w:pPr>
      <w:r>
        <w:t xml:space="preserve">The Role and Impact of the Medical Researcher in the Canadian Healthcare Context: A Focus on Vancouver</w:t>
      </w:r>
    </w:p>
    <w:p>
      <w:pPr>
        <w:pStyle w:val="FirstParagraph"/>
      </w:pPr>
      <w:r>
        <w:br/>
      </w:r>
    </w:p>
    <w:p>
      <w:pPr>
        <w:pStyle w:val="BodyText"/>
      </w:pPr>
      <w:r>
        <w:rPr>
          <w:bCs/>
          <w:b/>
        </w:rPr>
        <w:t xml:space="preserve">Abstract:</w:t>
      </w:r>
    </w:p>
    <w:p>
      <w:pPr>
        <w:pStyle w:val="BodyText"/>
      </w:pPr>
      <w:r>
        <w:br/>
      </w:r>
      <w:r>
        <w:t xml:space="preserve">This document examines the critical role of the medical researcher within Canada's healthcare infrastructure, with a specific geographical and institutional focus on Vancouver. As a hub for biotechnology and clinical trials, Vancouver serves as a microcosm for understanding how local research initiatives contribute to national health outcomes. The paper explores the ethical frameworks, collaborative models involving institutions such as the University of British Columbia (UBC) and Providence Health Care, and the socio-economic impact of medical innovation in this region. It argues that the modern medical researcher is not merely an academic observer but a pivotal agent in shaping public health policy and patient care standards in Canada.</w:t>
      </w:r>
      <w:r>
        <w:br/>
      </w:r>
      <w:r>
        <w:br/>
      </w:r>
    </w:p>
    <w:bookmarkStart w:id="20" w:name="introduction"/>
    <w:p>
      <w:pPr>
        <w:pStyle w:val="Heading2"/>
      </w:pPr>
      <w:r>
        <w:t xml:space="preserve">1. Introduction</w:t>
      </w:r>
    </w:p>
    <w:p>
      <w:pPr>
        <w:pStyle w:val="FirstParagraph"/>
      </w:pPr>
      <w:r>
        <w:br/>
      </w:r>
      <w:r>
        <w:t xml:space="preserve">The landscape of modern medicine is defined by the rigorous inquiry and empirical validation provided by the scientific community. In Canada, this effort is coordinated through a decentralized yet highly integrated network of universities, hospitals, and government bodies. Within this national framework, Vancouver has emerged as a premier destination for biomedical innovation. The city’s unique demographic diversity, coupled with its proximity to Asia and its robust university ecosystem, creates an ideal environment for the medical researcher to conduct high-impact studies.</w:t>
      </w:r>
      <w:r>
        <w:br/>
      </w:r>
      <w:r>
        <w:br/>
      </w:r>
      <w:r>
        <w:t xml:space="preserve">This paper aims to delineate the specific functions and responsibilities of the medical researcher operating in this context. It posits that understanding the Vancouver model is essential for comprehending how Canada approaches health challenges ranging from infectious diseases to chronic conditions like cancer and neurodegenerative disorders. The discussion will cover institutional partnerships, ethical considerations, technological integration, and future trajectories.</w:t>
      </w:r>
      <w:r>
        <w:br/>
      </w:r>
      <w:r>
        <w:br/>
      </w:r>
    </w:p>
    <w:bookmarkEnd w:id="20"/>
    <w:bookmarkStart w:id="23" w:name="institutional-ecosystems-in-vancouver"/>
    <w:p>
      <w:pPr>
        <w:pStyle w:val="Heading2"/>
      </w:pPr>
      <w:r>
        <w:t xml:space="preserve">2. Institutional Ecosystems in Vancouver</w:t>
      </w:r>
    </w:p>
    <w:p>
      <w:pPr>
        <w:pStyle w:val="FirstParagraph"/>
      </w:pPr>
      <w:r>
        <w:br/>
      </w:r>
      <w:r>
        <w:t xml:space="preserve">To understand the work of the medical researcher in Vancouver, one must first appreciate the infrastructure that supports it. The primary engine for this activity is the intersection between academia and clinical practice. The University of British Columbia (UBC) stands as a cornerstone, particularly through its Faculty of Medicine and associated research institutes.</w:t>
      </w:r>
      <w:r>
        <w:br/>
      </w:r>
      <w:r>
        <w:br/>
      </w:r>
    </w:p>
    <w:bookmarkStart w:id="21" w:name="academic-institutions"/>
    <w:p>
      <w:pPr>
        <w:pStyle w:val="Heading3"/>
      </w:pPr>
      <w:r>
        <w:t xml:space="preserve">2.1. Academic Institutions</w:t>
      </w:r>
    </w:p>
    <w:p>
      <w:pPr>
        <w:pStyle w:val="FirstParagraph"/>
      </w:pPr>
      <w:r>
        <w:br/>
      </w:r>
      <w:r>
        <w:t xml:space="preserve">UBC houses numerous world-class facilities, including the Centre for High-Risk and Critical Care Pathology. Here, the medical researcher operates at the bench level, dissecting cellular mechanisms to understand disease pathology. These academic roles require a dual competency: advanced scientific knowledge and effective teaching abilities to mentor the next generation of scientists.</w:t>
      </w:r>
      <w:r>
        <w:br/>
      </w:r>
      <w:r>
        <w:br/>
      </w:r>
    </w:p>
    <w:bookmarkEnd w:id="21"/>
    <w:bookmarkStart w:id="22" w:name="clinical-research-organizations"/>
    <w:p>
      <w:pPr>
        <w:pStyle w:val="Heading3"/>
      </w:pPr>
      <w:r>
        <w:t xml:space="preserve">2.2. Clinical Research Organizations</w:t>
      </w:r>
    </w:p>
    <w:p>
      <w:pPr>
        <w:pStyle w:val="FirstParagraph"/>
      </w:pPr>
      <w:r>
        <w:br/>
      </w:r>
      <w:r>
        <w:t xml:space="preserve">Beyond academia, Vancouver is home to major clinical research organizations and hospitals such as Providence Health Care and the BC Children’s Hospital Research Institute. These institutions provide the clinical data necessary for translational research—the process of turning basic science findings into practical medical applications. The medical researcher in this setting often collaborates directly with physicians, nurses, and patients to design trials that reflect real-world clinical scenarios.</w:t>
      </w:r>
      <w:r>
        <w:br/>
      </w:r>
      <w:r>
        <w:br/>
      </w:r>
    </w:p>
    <w:bookmarkEnd w:id="22"/>
    <w:bookmarkEnd w:id="23"/>
    <w:bookmarkStart w:id="27" w:name="key-areas-of-research-focus"/>
    <w:p>
      <w:pPr>
        <w:pStyle w:val="Heading2"/>
      </w:pPr>
      <w:r>
        <w:t xml:space="preserve">3. Key Areas of Research Focus</w:t>
      </w:r>
    </w:p>
    <w:p>
      <w:pPr>
        <w:pStyle w:val="FirstParagraph"/>
      </w:pPr>
      <w:r>
        <w:br/>
      </w:r>
      <w:r>
        <w:t xml:space="preserve">The scope of inquiry for the medical researcher in Vancouver is broad, but several key areas have gained international prominence.</w:t>
      </w:r>
      <w:r>
        <w:br/>
      </w:r>
      <w:r>
        <w:br/>
      </w:r>
    </w:p>
    <w:bookmarkStart w:id="24" w:name="infectious-disease-and-epidemiology"/>
    <w:p>
      <w:pPr>
        <w:pStyle w:val="Heading3"/>
      </w:pPr>
      <w:r>
        <w:t xml:space="preserve">3.1. Infectious Disease and Epidemiology</w:t>
      </w:r>
    </w:p>
    <w:p>
      <w:pPr>
        <w:pStyle w:val="FirstParagraph"/>
      </w:pPr>
      <w:r>
        <w:br/>
      </w:r>
      <w:r>
        <w:t xml:space="preserve">Historically significant in British Columbia, infectious disease research remains vital. The province has long been a leader in HIV/AIDS treatment and prevention programs, such as the Vancouver Coastal Health Research Institute’s contributions to global health equity. Researchers here focus on not just the virology of pathogens but also the social determinants of health that affect transmission and care access.</w:t>
      </w:r>
      <w:r>
        <w:br/>
      </w:r>
      <w:r>
        <w:br/>
      </w:r>
    </w:p>
    <w:bookmarkEnd w:id="24"/>
    <w:bookmarkStart w:id="25" w:name="oncology-and-precision-medicine"/>
    <w:p>
      <w:pPr>
        <w:pStyle w:val="Heading3"/>
      </w:pPr>
      <w:r>
        <w:t xml:space="preserve">3.2. Oncology and Precision Medicine</w:t>
      </w:r>
    </w:p>
    <w:p>
      <w:pPr>
        <w:pStyle w:val="FirstParagraph"/>
      </w:pPr>
      <w:r>
        <w:br/>
      </w:r>
      <w:r>
        <w:t xml:space="preserve">Cancer research constitutes a substantial portion of medical funding in Canada. In Vancouver, teams are heavily invested in precision medicine—the tailoring of treatment to the individual characteristics of each patient’s cancer. By leveraging genetic sequencing technologies, the medical researcher helps identify biomarkers that predict how a tumor will respond to specific therapies, thereby reducing trial-and-error in patient care.</w:t>
      </w:r>
      <w:r>
        <w:br/>
      </w:r>
      <w:r>
        <w:br/>
      </w:r>
    </w:p>
    <w:bookmarkEnd w:id="25"/>
    <w:bookmarkStart w:id="26" w:name="neurodegenerative-diseases"/>
    <w:p>
      <w:pPr>
        <w:pStyle w:val="Heading3"/>
      </w:pPr>
      <w:r>
        <w:t xml:space="preserve">3.3. Neurodegenerative Diseases</w:t>
      </w:r>
    </w:p>
    <w:p>
      <w:pPr>
        <w:pStyle w:val="FirstParagraph"/>
      </w:pPr>
      <w:r>
        <w:br/>
      </w:r>
      <w:r>
        <w:t xml:space="preserve">With an aging population, research into Alzheimer’s and Parkinson’s diseases is a priority for Canadian health policy. Vancouver-based researchers are utilizing neuroimaging and cognitive testing to detect early markers of these conditions. This work is crucial for developing interventions that can delay onset or slow progression, significantly impacting the quality of life for seniors.</w:t>
      </w:r>
      <w:r>
        <w:br/>
      </w:r>
      <w:r>
        <w:br/>
      </w:r>
    </w:p>
    <w:bookmarkEnd w:id="26"/>
    <w:bookmarkEnd w:id="27"/>
    <w:bookmarkStart w:id="28" w:name="X32f2e3d95789490addc76e25674bda4415db1fe"/>
    <w:p>
      <w:pPr>
        <w:pStyle w:val="Heading2"/>
      </w:pPr>
      <w:r>
        <w:t xml:space="preserve">4. Ethical Frameworks and Indigenous Collaboration</w:t>
      </w:r>
    </w:p>
    <w:p>
      <w:pPr>
        <w:pStyle w:val="FirstParagraph"/>
      </w:pPr>
      <w:r>
        <w:br/>
      </w:r>
      <w:r>
        <w:t xml:space="preserve">Conducting medical research in Canada requires adherence to strict ethical guidelines, primarily overseen by the Tri-Council Policy Statement: Ethical Conduct for Research Involving Humans (TCPS 2). However, in Vancouver, there is an additional layer of responsibility regarding Indigenous health.</w:t>
      </w:r>
      <w:r>
        <w:br/>
      </w:r>
      <w:r>
        <w:br/>
      </w:r>
      <w:r>
        <w:t xml:space="preserve">The medical researcher is increasingly expected to engage in collaborative research with First Nations communities. This involves moving away from extractive research models—where data is taken without benefit to the community—toward partnership models that respect Indigenous sovereignty over data and knowledge. Initiatives such as those led by the British Columbia Centre of Excellence for Women’s Health emphasize gender-based analysis, ensuring that medical findings consider sex and gender differences in health outcomes.</w:t>
      </w:r>
      <w:r>
        <w:br/>
      </w:r>
      <w:r>
        <w:br/>
      </w:r>
    </w:p>
    <w:bookmarkEnd w:id="28"/>
    <w:bookmarkStart w:id="31" w:name="X25f121a4b6ed3d4789476b572aae523f6bdfcc4"/>
    <w:p>
      <w:pPr>
        <w:pStyle w:val="Heading2"/>
      </w:pPr>
      <w:r>
        <w:t xml:space="preserve">5. The Impact of Technology on Medical Research</w:t>
      </w:r>
    </w:p>
    <w:p>
      <w:pPr>
        <w:pStyle w:val="FirstParagraph"/>
      </w:pPr>
      <w:r>
        <w:br/>
      </w:r>
      <w:r>
        <w:t xml:space="preserve">The digital transformation of healthcare has profound implications for the medical researcher. In Vancouver, the integration of Artificial Intelligence (AI) and Machine Learning (ML) into biomedical research is accelerating discovery.</w:t>
      </w:r>
      <w:r>
        <w:br/>
      </w:r>
      <w:r>
        <w:br/>
      </w:r>
    </w:p>
    <w:bookmarkStart w:id="29" w:name="data-analytics"/>
    <w:p>
      <w:pPr>
        <w:pStyle w:val="Heading3"/>
      </w:pPr>
      <w:r>
        <w:t xml:space="preserve">5.1. Data Analytics</w:t>
      </w:r>
    </w:p>
    <w:p>
      <w:pPr>
        <w:pStyle w:val="FirstParagraph"/>
      </w:pPr>
      <w:r>
        <w:br/>
      </w:r>
      <w:r>
        <w:t xml:space="preserve">Large-scale datasets from electronic health records are being mined to find patterns invisible to the human eye. The medical researcher utilizes these tools to predict disease outbreaks, optimize hospital resource allocation, and identify at-risk populations.</w:t>
      </w:r>
      <w:r>
        <w:br/>
      </w:r>
      <w:r>
        <w:br/>
      </w:r>
    </w:p>
    <w:bookmarkEnd w:id="29"/>
    <w:bookmarkStart w:id="30" w:name="telehealth-integration"/>
    <w:p>
      <w:pPr>
        <w:pStyle w:val="Heading3"/>
      </w:pPr>
      <w:r>
        <w:t xml:space="preserve">5.2. Telehealth Integration</w:t>
      </w:r>
    </w:p>
    <w:p>
      <w:pPr>
        <w:pStyle w:val="FirstParagraph"/>
      </w:pPr>
      <w:r>
        <w:br/>
      </w:r>
      <w:r>
        <w:t xml:space="preserve">Post-pandemic, the scope of clinical trials has expanded to include remote monitoring. Vancouver’s research institutions are pioneering methods for conducting virtual trials, which increases accessibility for rural patients across British Columbia and reduces the burden of travel on participants.</w:t>
      </w:r>
      <w:r>
        <w:br/>
      </w:r>
      <w:r>
        <w:br/>
      </w:r>
    </w:p>
    <w:bookmarkEnd w:id="30"/>
    <w:bookmarkEnd w:id="31"/>
    <w:bookmarkStart w:id="32" w:name="challenges-and-future-directions"/>
    <w:p>
      <w:pPr>
        <w:pStyle w:val="Heading2"/>
      </w:pPr>
      <w:r>
        <w:t xml:space="preserve">6. Challenges and Future Directions</w:t>
      </w:r>
    </w:p>
    <w:p>
      <w:pPr>
        <w:pStyle w:val="FirstParagraph"/>
      </w:pPr>
      <w:r>
        <w:br/>
      </w:r>
      <w:r>
        <w:t xml:space="preserve">Despite its strengths, the field faces significant challenges. Funding instability is a perennial issue in Canadian medical research. The medical researcher often spends a considerable amount of time securing grants from bodies like the Canadian Institutes of Health Research (CIHR) or private foundations.</w:t>
      </w:r>
      <w:r>
        <w:br/>
      </w:r>
      <w:r>
        <w:br/>
      </w:r>
      <w:r>
        <w:t xml:space="preserve">Furthermore, there is a pressing need for greater diversity in research cohorts. While Vancouver is diverse, historical data sets often lack representation from minority ethnic groups. Future work must prioritize inclusive recruitment to ensure that medical innovations benefit all Canadians equally.</w:t>
      </w:r>
      <w:r>
        <w:br/>
      </w:r>
      <w:r>
        <w:br/>
      </w:r>
    </w:p>
    <w:bookmarkEnd w:id="32"/>
    <w:bookmarkStart w:id="33" w:name="conclusion"/>
    <w:p>
      <w:pPr>
        <w:pStyle w:val="Heading2"/>
      </w:pPr>
      <w:r>
        <w:t xml:space="preserve">7. Conclusion</w:t>
      </w:r>
    </w:p>
    <w:p>
      <w:pPr>
        <w:pStyle w:val="FirstParagraph"/>
      </w:pPr>
      <w:r>
        <w:br/>
      </w:r>
      <w:r>
        <w:t xml:space="preserve">The medical researcher in Vancouver plays a multifaceted role that extends far beyond the laboratory. They are clinicians, educators, ethicists, and innovators working at the nexus of science and society. By leveraging the robust institutional support provided by entities like UBC and Providence Health Care, these researchers drive advancements that improve health outcomes not just locally but globally.</w:t>
      </w:r>
      <w:r>
        <w:br/>
      </w:r>
      <w:r>
        <w:br/>
      </w:r>
      <w:r>
        <w:t xml:space="preserve">As Canada continues to navigate complex health challenges—from an aging demographic to emerging infectious threats—the reliance on high-quality, ethically sound medical research will only grow. Vancouver’s position as a leader in this domain ensures that the country remains competitive on the global stage of biomedical innovation. Continued investment in these human and infrastructural resources is essential for sustaining Canada’s reputation for excellence in healthcare and scientific discovery.</w:t>
      </w:r>
      <w:r>
        <w:br/>
      </w:r>
      <w:r>
        <w:br/>
      </w:r>
    </w:p>
    <w:bookmarkEnd w:id="33"/>
    <w:bookmarkStart w:id="34" w:name="references"/>
    <w:p>
      <w:pPr>
        <w:pStyle w:val="Heading2"/>
      </w:pPr>
      <w:r>
        <w:t xml:space="preserve">8. References</w:t>
      </w:r>
    </w:p>
    <w:p>
      <w:pPr>
        <w:pStyle w:val="FirstParagraph"/>
      </w:pPr>
      <w:r>
        <w:br/>
      </w:r>
    </w:p>
    <w:p>
      <w:pPr>
        <w:numPr>
          <w:ilvl w:val="0"/>
          <w:numId w:val="1001"/>
        </w:numPr>
        <w:pStyle w:val="Compact"/>
      </w:pPr>
      <w:r>
        <w:t xml:space="preserve">Council of Canadian Academies. (2018). *Health Research in Canada: A System at Risk*. Ottawa: PMPmf.</w:t>
      </w:r>
    </w:p>
    <w:p>
      <w:pPr>
        <w:numPr>
          <w:ilvl w:val="0"/>
          <w:numId w:val="1001"/>
        </w:numPr>
        <w:pStyle w:val="Compact"/>
      </w:pPr>
      <w:r>
        <w:t xml:space="preserve">National Institutes of Health and CIHR Joint Initiatives on Global Health. (2020). *Report on Infectious Disease Collaboration*.</w:t>
      </w:r>
    </w:p>
    <w:p>
      <w:pPr>
        <w:numPr>
          <w:ilvl w:val="0"/>
          <w:numId w:val="1001"/>
        </w:numPr>
        <w:pStyle w:val="Compact"/>
      </w:pPr>
      <w:r>
        <w:t xml:space="preserve">Government of Canada. (2018). *Tri-Council Policy Statement: Ethical Conduct for Research Involving Humans*. Ottawa: Government of Canada.</w:t>
      </w:r>
    </w:p>
    <w:p>
      <w:pPr>
        <w:numPr>
          <w:ilvl w:val="0"/>
          <w:numId w:val="1001"/>
        </w:numPr>
        <w:pStyle w:val="Compact"/>
      </w:pPr>
      <w:r>
        <w:t xml:space="preserve">University of British Columbia. (2023). *UBC Strategic Plan for Health Research 2030*. Vancouver: UBC Press.</w:t>
      </w:r>
    </w:p>
    <w:p>
      <w:pPr>
        <w:pStyle w:val="FirstParagraph"/>
      </w:pP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the Canadian Healthcare Context: A Focus on Vancouver</dc:title>
  <dc:creator/>
  <dc:language>en</dc:language>
  <cp:keywords/>
  <dcterms:created xsi:type="dcterms:W3CDTF">2026-07-29T17:01:15Z</dcterms:created>
  <dcterms:modified xsi:type="dcterms:W3CDTF">2026-07-29T17:01:15Z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