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Berlin</w:t>
      </w:r>
    </w:p>
    <w:bookmarkStart w:id="27" w:name="X3e108a3de6bc66032cc247749fff0c86dfda6b4"/>
    <w:p>
      <w:pPr>
        <w:pStyle w:val="Heading1"/>
      </w:pPr>
      <w:r>
        <w:t xml:space="preserve">The Role and Impact of the Medical Researcher in Germany Berlin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Institutions, Healthcare Policy Makers, and International Partners</w:t>
      </w:r>
      <w:r>
        <w:br/>
      </w:r>
      <w:r>
        <w:rPr>
          <w:bCs/>
          <w:b/>
        </w:rPr>
        <w:t xml:space="preserve">Subject:</w:t>
      </w:r>
      <w:r>
        <w:t xml:space="preserve"> </w:t>
      </w:r>
      <w:r>
        <w:t xml:space="preserve">An Analysis of the Medical Researcher Ecosystem in Germany Berlin</w:t>
      </w:r>
    </w:p>
    <w:bookmarkStart w:id="20" w:name="abstract"/>
    <w:p>
      <w:pPr>
        <w:pStyle w:val="Heading2"/>
      </w:pPr>
      <w:r>
        <w:t xml:space="preserve">Abstract</w:t>
      </w:r>
    </w:p>
    <w:p>
      <w:pPr>
        <w:pStyle w:val="FirstParagraph"/>
      </w:pPr>
      <w:r>
        <w:t xml:space="preserve">The landscape of modern medicine is increasingly defined by the convergence of clinical practice and scientific inquiry. In this dynamic environment, the</w:t>
      </w:r>
      <w:r>
        <w:t xml:space="preserve"> </w:t>
      </w:r>
      <w:r>
        <w:rPr>
          <w:bCs/>
          <w:b/>
        </w:rPr>
        <w:t xml:space="preserve">Medical Researcher</w:t>
      </w:r>
      <w:r>
        <w:t xml:space="preserve"> </w:t>
      </w:r>
      <w:r>
        <w:t xml:space="preserve">serves as a pivotal figure, bridging the gap between theoretical knowledge and practical patient care. This document explores the specific context of this role within</w:t>
      </w:r>
      <w:r>
        <w:t xml:space="preserve"> </w:t>
      </w:r>
      <w:r>
        <w:rPr>
          <w:bCs/>
          <w:b/>
        </w:rPr>
        <w:t xml:space="preserve">Germany Berlin</w:t>
      </w:r>
      <w:r>
        <w:t xml:space="preserve">, a city that has emerged as a global hub for biomedical innovation. By examining the institutional frameworks, collaborative networks, and unique challenges present in</w:t>
      </w:r>
      <w:r>
        <w:t xml:space="preserve"> </w:t>
      </w:r>
      <w:r>
        <w:rPr>
          <w:bCs/>
          <w:b/>
        </w:rPr>
        <w:t xml:space="preserve">Germany Berlin</w:t>
      </w:r>
      <w:r>
        <w:t xml:space="preserve">, we can better understand how the</w:t>
      </w:r>
      <w:r>
        <w:t xml:space="preserve"> </w:t>
      </w:r>
      <w:r>
        <w:rPr>
          <w:bCs/>
          <w:b/>
        </w:rPr>
        <w:t xml:space="preserve">Medical Researcher</w:t>
      </w:r>
    </w:p>
    <w:bookmarkEnd w:id="20"/>
    <w:bookmarkStart w:id="21" w:name="the-unique-ecosystem-of-germany-berlin"/>
    <w:p>
      <w:pPr>
        <w:pStyle w:val="Heading2"/>
      </w:pPr>
      <w:r>
        <w:t xml:space="preserve">The Unique Ecosystem of Germany Berlin</w:t>
      </w:r>
    </w:p>
    <w:p>
      <w:pPr>
        <w:pStyle w:val="FirstParagraph"/>
      </w:pPr>
      <w:r>
        <w:t xml:space="preserve">Germany BerlinMedical Researcher,</w:t>
      </w:r>
    </w:p>
    <w:p>
      <w:pPr>
        <w:pStyle w:val="BodyText"/>
      </w:pPr>
      <w:r>
        <w:t xml:space="preserve">Germany Berlin offers an unparalleled infrastructure for discovery. The presence of diverse research centers, ranging from basic science institutes to large-scale clinical trial facilities, creates a fertile ground for interdisciplinary collaboration.</w:t>
      </w:r>
    </w:p>
    <w:p>
      <w:pPr>
        <w:pStyle w:val="BodyText"/>
      </w:pPr>
      <w:r>
        <w:t xml:space="preserve">The city’s historical significance in medicine is matched by its modern commitment to innovation. In</w:t>
      </w:r>
    </w:p>
    <w:p>
      <w:pPr>
        <w:pStyle w:val="BodyText"/>
      </w:pPr>
      <w:r>
        <w:t xml:space="preserve">Germany Berlin, the integration of digital health technologies with traditional medical research is prioritized. This environment allows the</w:t>
      </w:r>
    </w:p>
    <w:p>
      <w:pPr>
        <w:pStyle w:val="BodyText"/>
      </w:pPr>
      <w:r>
        <w:t xml:space="preserve">Medical Researcher to leverage big data, artificial intelligence, and genomic sequencing tools at a scale that is increasingly rare elsewhere in Europe.</w:t>
      </w:r>
    </w:p>
    <w:bookmarkEnd w:id="21"/>
    <w:bookmarkStart w:id="22" w:name="Xd4305ea4cf6b04dfef18559ac8d8e2d4e3f4d28"/>
    <w:p>
      <w:pPr>
        <w:pStyle w:val="Heading2"/>
      </w:pPr>
      <w:r>
        <w:t xml:space="preserve">The Multifaceted Role of the Medical Researcher</w:t>
      </w:r>
    </w:p>
    <w:p>
      <w:pPr>
        <w:pStyle w:val="FirstParagraph"/>
      </w:pPr>
      <w:r>
        <w:t xml:space="preserve">To understand the contribution of the</w:t>
      </w:r>
    </w:p>
    <w:p>
      <w:pPr>
        <w:pStyle w:val="BodyText"/>
      </w:pPr>
      <w:r>
        <w:t xml:space="preserve">Medical Researcher, one must first define the scope of their responsibilities. Unlike pure laboratory scientists, a</w:t>
      </w:r>
    </w:p>
    <w:p>
      <w:pPr>
        <w:pStyle w:val="BodyText"/>
      </w:pPr>
      <w:r>
        <w:t xml:space="preserve">Medical Researcher often possesses dual training in medicine and science. This unique qualification allows them to translate bench-side discoveries into bedside applications effectively. In the context of</w:t>
      </w:r>
    </w:p>
    <w:p>
      <w:pPr>
        <w:pStyle w:val="BodyText"/>
      </w:pPr>
      <w:r>
        <w:t xml:space="preserve">Germany Berlin, this role is particularly critical due to the high volume of patient data and the complexity of cases managed by local hospitals.</w:t>
      </w:r>
    </w:p>
    <w:p>
      <w:pPr>
        <w:pStyle w:val="BodyText"/>
      </w:pPr>
      <w:r>
        <w:t xml:space="preserve">The primary duties of a</w:t>
      </w:r>
    </w:p>
    <w:p>
      <w:pPr>
        <w:pStyle w:val="BodyText"/>
      </w:pPr>
      <w:r>
        <w:t xml:space="preserve">Medical Researcher include:</w:t>
      </w:r>
    </w:p>
    <w:p>
      <w:pPr>
        <w:numPr>
          <w:ilvl w:val="0"/>
          <w:numId w:val="1001"/>
        </w:numPr>
        <w:pStyle w:val="Compact"/>
      </w:pPr>
      <w:r>
        <w:rPr>
          <w:bCs/>
          <w:b/>
        </w:rPr>
        <w:t xml:space="preserve">Clinical Trial Design and Execution:</w:t>
      </w:r>
      <w:r>
        <w:t xml:space="preserve">Germany Berlin, these trials often involve multi-center collaborations, requiring the researcher to coordinate with various stakeholders.</w:t>
      </w:r>
    </w:p>
    <w:p>
      <w:pPr>
        <w:numPr>
          <w:ilvl w:val="0"/>
          <w:numId w:val="1001"/>
        </w:numPr>
        <w:pStyle w:val="Compact"/>
      </w:pPr>
      <w:r>
        <w:rPr>
          <w:bCs/>
          <w:b/>
        </w:rPr>
        <w:t xml:space="preserve">Data Analysis and Interpretation:</w:t>
      </w:r>
      <w:r>
        <w:t xml:space="preserve">Germany Berlin</w:t>
      </w:r>
    </w:p>
    <w:p>
      <w:pPr>
        <w:numPr>
          <w:ilvl w:val="0"/>
          <w:numId w:val="1001"/>
        </w:numPr>
        <w:pStyle w:val="Compact"/>
      </w:pPr>
      <w:r>
        <w:rPr>
          <w:bCs/>
          <w:b/>
        </w:rPr>
        <w:t xml:space="preserve">Patient-Centric Innovation:</w:t>
      </w:r>
      <w:r>
        <w:t xml:space="preserve">Germany Berlin.</w:t>
      </w:r>
    </w:p>
    <w:p>
      <w:pPr>
        <w:numPr>
          <w:ilvl w:val="0"/>
          <w:numId w:val="1001"/>
        </w:numPr>
        <w:pStyle w:val="Compact"/>
      </w:pPr>
      <w:r>
        <w:rPr>
          <w:bCs/>
          <w:b/>
        </w:rPr>
        <w:t xml:space="preserve">Interdisciplinary Collaboration:</w:t>
      </w:r>
    </w:p>
    <w:bookmarkEnd w:id="22"/>
    <w:bookmarkStart w:id="23" w:name="Xbf655bd8d9290150323cef2f2733d4698fb4f32"/>
    <w:p>
      <w:pPr>
        <w:pStyle w:val="Heading2"/>
      </w:pPr>
      <w:r>
        <w:t xml:space="preserve">Institutional Frameworks and Funding in Germany Berlin</w:t>
      </w:r>
    </w:p>
    <w:p>
      <w:pPr>
        <w:pStyle w:val="FirstParagraph"/>
      </w:pPr>
      <w:r>
        <w:t xml:space="preserve">The success of the</w:t>
      </w:r>
    </w:p>
    <w:p>
      <w:pPr>
        <w:pStyle w:val="BodyText"/>
      </w:pPr>
      <w:r>
        <w:t xml:space="preserve">Medical Researcher is heavily dependent on the supporting infrastructure. In</w:t>
      </w:r>
    </w:p>
    <w:p>
      <w:pPr>
        <w:pStyle w:val="BodyText"/>
      </w:pPr>
      <w:r>
        <w:t xml:space="preserve">Germany Berlin, this support comes from a combination of federal funding, state-level initiatives, and private sector partnerships. The Deutsche Forschungsgemeinschaft (DFG), or German Research Foundation, plays a crucial role in funding fundamental research. Additionally, local institutions in</w:t>
      </w:r>
    </w:p>
    <w:p>
      <w:pPr>
        <w:pStyle w:val="BodyText"/>
      </w:pPr>
      <w:r>
        <w:t xml:space="preserve">Germany Berlin provide specialized grants for translational medicine.</w:t>
      </w:r>
    </w:p>
    <w:p>
      <w:pPr>
        <w:pStyle w:val="BodyText"/>
      </w:pPr>
      <w:r>
        <w:t xml:space="preserve">The ecosystem encourages risk-taking and long-term commitment. For instance, the Berlin Institute of Health (BIH) exemplifies a model where basic researchers and clinicians work side-by-side in a single institution. This proximity fosters rapid translation of findings, a hallmark of effective medical research in</w:t>
      </w:r>
    </w:p>
    <w:p>
      <w:pPr>
        <w:pStyle w:val="BodyText"/>
      </w:pPr>
      <w:r>
        <w:t xml:space="preserve">Germany Berlin. The</w:t>
      </w:r>
    </w:p>
    <w:p>
      <w:pPr>
        <w:pStyle w:val="BodyText"/>
      </w:pPr>
      <w:r>
        <w:t xml:space="preserve">Medical Researcher benefits from this integrated approach by having immediate access to clinical samples, patient cohorts, and specialized expertise.</w:t>
      </w:r>
    </w:p>
    <w:bookmarkEnd w:id="23"/>
    <w:bookmarkStart w:id="24" w:name="challenges-and-ethical-considerations"/>
    <w:p>
      <w:pPr>
        <w:pStyle w:val="Heading2"/>
      </w:pPr>
      <w:r>
        <w:t xml:space="preserve">Challenges and Ethical Considerations</w:t>
      </w:r>
    </w:p>
    <w:p>
      <w:pPr>
        <w:pStyle w:val="FirstParagraph"/>
      </w:pPr>
      <w:r>
        <w:t xml:space="preserve">Despite the robust infrastructure, the path for the</w:t>
      </w:r>
    </w:p>
    <w:p>
      <w:pPr>
        <w:pStyle w:val="BodyText"/>
      </w:pPr>
      <w:r>
        <w:t xml:space="preserve">Medical Researcher is not without obstacles. One of the significant challenges in</w:t>
      </w:r>
    </w:p>
    <w:p>
      <w:pPr>
        <w:pStyle w:val="BodyText"/>
      </w:pPr>
      <w:r>
        <w:t xml:space="preserve">Germany Berlin is navigating the complex regulatory landscape. Germany has stringent data protection laws, particularly regarding patient privacy under both national regulations and the General Data Protection Regulation (GDPR). For a researcher working in this field, ensuring compliance while maintaining research efficiency requires meticulous attention to detail and robust data management systems.</w:t>
      </w:r>
    </w:p>
    <w:p>
      <w:pPr>
        <w:pStyle w:val="BodyText"/>
      </w:pPr>
      <w:r>
        <w:t xml:space="preserve">Furthermore, ethical considerations remain paramount. The</w:t>
      </w:r>
    </w:p>
    <w:p>
      <w:pPr>
        <w:pStyle w:val="BodyText"/>
      </w:pPr>
      <w:r>
        <w:t xml:space="preserve">Medical Researcher must constantly balance the pursuit of knowledge with the well-being of participants. In</w:t>
      </w:r>
    </w:p>
    <w:p>
      <w:pPr>
        <w:pStyle w:val="BodyText"/>
      </w:pPr>
      <w:r>
        <w:t xml:space="preserve">Germany Berlin, ethical review boards are highly active and thorough. This ensures that all research meets high moral standards but also adds a layer of administrative complexity that researchers must navigate.</w:t>
      </w:r>
    </w:p>
    <w:bookmarkEnd w:id="24"/>
    <w:bookmarkStart w:id="25" w:name="X7c13348f9737132267c3d855f18fe0a47b40ed8"/>
    <w:p>
      <w:pPr>
        <w:pStyle w:val="Heading2"/>
      </w:pPr>
      <w:r>
        <w:t xml:space="preserve">The Future Landscape: Digital Health and Precision Medicine</w:t>
      </w:r>
    </w:p>
    <w:p>
      <w:pPr>
        <w:pStyle w:val="FirstParagraph"/>
      </w:pPr>
      <w:r>
        <w:t xml:space="preserve">Looking ahead, the role of the</w:t>
      </w:r>
    </w:p>
    <w:p>
      <w:pPr>
        <w:pStyle w:val="BodyText"/>
      </w:pPr>
      <w:r>
        <w:t xml:space="preserve">Medical Researcher in</w:t>
      </w:r>
    </w:p>
    <w:p>
      <w:pPr>
        <w:pStyle w:val="BodyText"/>
      </w:pPr>
      <w:r>
        <w:t xml:space="preserve">Germany Berlin is poised to evolve further. The integration of precision medicine—tailoring treatment to individual genetic profiles—is becoming a central theme in local research agendas. This approach requires researchers to be adept at interpreting genomic data and applying it to clinical decision-making.</w:t>
      </w:r>
    </w:p>
    <w:p>
      <w:pPr>
        <w:pStyle w:val="BodyText"/>
      </w:pPr>
      <w:r>
        <w:t xml:space="preserve">Digital health technologies are also transforming the landscape. Telemedicine, wearable devices, and electronic health records are generating new streams of data that require sophisticated analysis. The</w:t>
      </w:r>
    </w:p>
    <w:p>
      <w:pPr>
        <w:pStyle w:val="BodyText"/>
      </w:pPr>
      <w:r>
        <w:t xml:space="preserve">Medical Researcher of the future in</w:t>
      </w:r>
    </w:p>
    <w:p>
      <w:pPr>
        <w:pStyle w:val="BodyText"/>
      </w:pPr>
      <w:r>
        <w:t xml:space="preserve">Germany Berlin will likely need to possess strong digital literacy skills alongside traditional medical knowledge.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stands at the forefront of healthcare innovation in Europe. Within the specific and vibrant context of</w:t>
      </w:r>
      <w:r>
        <w:t xml:space="preserve"> </w:t>
      </w:r>
      <w:r>
        <w:rPr>
          <w:bCs/>
          <w:b/>
        </w:rPr>
        <w:t xml:space="preserve">Germany Berlin</w:t>
      </w:r>
      <w:r>
        <w:t xml:space="preserve">, this role is amplified by exceptional institutional support, a culture of collaboration, and access to diverse patient populations. While challenges regarding regulation and ethics persist, they are outweighed by the opportunities for groundbreaking discovery.</w:t>
      </w:r>
    </w:p>
    <w:p>
      <w:pPr>
        <w:pStyle w:val="BodyText"/>
      </w:pPr>
      <w:r>
        <w:t xml:space="preserve">The contributions of medical researchers in</w:t>
      </w:r>
      <w:r>
        <w:t xml:space="preserve"> </w:t>
      </w:r>
      <w:r>
        <w:rPr>
          <w:bCs/>
          <w:b/>
        </w:rPr>
        <w:t xml:space="preserve">Germany Berlin</w:t>
      </w:r>
      <w:r>
        <w:t xml:space="preserve"> </w:t>
      </w:r>
      <w:r>
        <w:t xml:space="preserve">extend beyond academic publications; they result in tangible improvements in patient outcomes, public health policies, and global scientific knowledge. As the city continues to invest in its research infrastructure, the impact of these professionals will only grow. For stakeholders interested in advancing healthcare innovation, supporting and engaging with medical researchers is a strategic imperative.</w:t>
      </w:r>
    </w:p>
    <w:p>
      <w:pPr>
        <w:pStyle w:val="BodyText"/>
      </w:pPr>
      <w:r>
        <w:t xml:space="preserve">This document underscores that the synergy between rigorous scientific inquiry and clinical application, fostered by the unique environment of</w:t>
      </w:r>
      <w:r>
        <w:t xml:space="preserve"> </w:t>
      </w:r>
      <w:r>
        <w:rPr>
          <w:bCs/>
          <w:b/>
        </w:rPr>
        <w:t xml:space="preserve">Germany Berlin</w:t>
      </w:r>
      <w:r>
        <w:t xml:space="preserve">, makes it a critical location for the advancement of human health. The</w:t>
      </w:r>
    </w:p>
    <w:p>
      <w:pPr>
        <w:pStyle w:val="BodyText"/>
      </w:pPr>
      <w:r>
        <w:t xml:space="preserve">Medical Researcher remains the key agent in this ongoing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Germany Berlin</dc:title>
  <dc:creator/>
  <dc:language>en</dc:language>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