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Doha:</w:t>
      </w:r>
      <w:r>
        <w:t xml:space="preserve"> </w:t>
      </w:r>
      <w:r>
        <w:t xml:space="preserve">Advancing</w:t>
      </w:r>
      <w:r>
        <w:t xml:space="preserve"> </w:t>
      </w:r>
      <w:r>
        <w:t xml:space="preserve">Healthcare</w:t>
      </w:r>
      <w:r>
        <w:t xml:space="preserve"> </w:t>
      </w:r>
      <w:r>
        <w:t xml:space="preserve">Innovation</w:t>
      </w:r>
    </w:p>
    <w:bookmarkStart w:id="31" w:name="X31a335f972a0f712cb32a19ec6daaab48650e3d"/>
    <w:p>
      <w:pPr>
        <w:pStyle w:val="Heading1"/>
      </w:pPr>
      <w:r>
        <w:t xml:space="preserve">The Strategic Evolution of the Medical Researcher in Qatar Doha: Bridging Tradition and Modernity in Healthcare Innovation</w:t>
      </w:r>
    </w:p>
    <w:p>
      <w:pPr>
        <w:pStyle w:val="FirstParagraph"/>
      </w:pPr>
      <w:r>
        <w:rPr>
          <w:iCs/>
          <w:i/>
          <w:bCs/>
          <w:b/>
        </w:rPr>
        <w:t xml:space="preserve">This research paper explores the critical function of the medical researcher within the unique socio-economic landscape of Qatar Doha, highlighting how local expertise aligns with national visions to transform regional healthcare standards.</w:t>
      </w:r>
    </w:p>
    <w:p>
      <w:r>
        <w:pict>
          <v:rect style="width:0;height:1.5pt" o:hralign="center" o:hrstd="t" o:hr="t"/>
        </w:pic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global landscape of biomedical science is undergoing a profound transformation, driven by rapid technological advancements, genomic breakthroughs, and the pressing need for personalized medicine. In this context, the role of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has evolved from that of an isolated academic observer to a central pillar in public health strategy. Nowhere is this evolution more pronounced or strategically significant than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. As the capital and largest city of Qatar, Doha stands not merely as a geographical hub but as the intellectual engine driving the nation's ambitious healthcare reforms.</w:t>
      </w:r>
    </w:p>
    <w:p>
      <w:pPr>
        <w:pStyle w:val="BodyText"/>
      </w:pPr>
      <w:r>
        <w:t xml:space="preserve">This document examines how the integration of rigorous scientific inquiry with national policy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creates a unique ecosystem for medical innovation. It argues that the modern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in this region is essential for addressing both local health challenges and contributing to global medical knowledge, thereby fulfilling the broader objectives of Qatar National Vision 2030.</w:t>
      </w:r>
    </w:p>
    <w:bookmarkEnd w:id="20"/>
    <w:bookmarkStart w:id="21" w:name="the-context-of-healthcare-in-qatar-doha"/>
    <w:p>
      <w:pPr>
        <w:pStyle w:val="Heading2"/>
      </w:pPr>
      <w:r>
        <w:t xml:space="preserve">2. The Context of Healthcare in Qatar Doha</w:t>
      </w:r>
    </w:p>
    <w:p>
      <w:pPr>
        <w:pStyle w:val="FirstParagraph"/>
      </w:pPr>
      <w:r>
        <w:t xml:space="preserve">To understand the significance of research in this region, one must first appreciate the specific health demographics and infrastructure present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. The country has successfully transitioned from a resource-based economy to a knowledge-based society. Consequently, healthcare has moved beyond basic treatment to focus on preventative care, chronic disease management, and life sciences.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, the healthcare system is characterized by high-quality infrastructure and significant state investment. However, this investment is contingent upon evidence-based practices. The prevalence of non-communicable diseases (NCDs), such as diabetes, cardiovascular diseases, and obesity in the Gulf region, necessitates a robust framework for local data collection and analysis. This specific epidemiological profile makes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an ideal testing ground for targeted medical interventions, provided that skilled</w:t>
      </w:r>
      <w:r>
        <w:t xml:space="preserve"> </w:t>
      </w:r>
      <w:r>
        <w:rPr>
          <w:bCs/>
          <w:b/>
        </w:rPr>
        <w:t xml:space="preserve">medical researchers</w:t>
      </w:r>
      <w:r>
        <w:t xml:space="preserve"> </w:t>
      </w:r>
      <w:r>
        <w:t xml:space="preserve">are employed to design and execute these studies.</w:t>
      </w:r>
    </w:p>
    <w:bookmarkEnd w:id="21"/>
    <w:bookmarkStart w:id="25" w:name="Xd4305ea4cf6b04dfef18559ac8d8e2d4e3f4d28"/>
    <w:p>
      <w:pPr>
        <w:pStyle w:val="Heading2"/>
      </w:pPr>
      <w:r>
        <w:t xml:space="preserve">3. The Multifaceted Role of the Medical Researcher</w:t>
      </w:r>
    </w:p>
    <w:p>
      <w:pPr>
        <w:pStyle w:val="FirstParagraph"/>
      </w:pPr>
      <w:r>
        <w:t xml:space="preserve">The definition of a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Qatar Doha, this professional fulfills several critical roles:</w:t>
      </w:r>
    </w:p>
    <w:bookmarkStart w:id="22" w:name="genomic-and-precision-medicine-advocacy"/>
    <w:p>
      <w:pPr>
        <w:pStyle w:val="Heading3"/>
      </w:pPr>
      <w:r>
        <w:t xml:space="preserve">3.1 Genomic and Precision Medicine Advocacy</w:t>
      </w:r>
    </w:p>
    <w:p>
      <w:pPr>
        <w:pStyle w:val="FirstParagraph"/>
      </w:pPr>
      <w:r>
        <w:t xml:space="preserve">Gulf populations possess unique genetic profiles that differ significantly from Western cohorts. A generic application of global medical protocols may yield suboptimal results for the residents of</w:t>
      </w:r>
      <w:r>
        <w:t xml:space="preserve"> </w:t>
      </w:r>
      <w:r>
        <w:rPr>
          <w:bCs/>
          <w:b/>
        </w:rPr>
        <w:t xml:space="preserve">Qatar Doha</w:t>
      </w:r>
      <w:r>
        <w:t xml:space="preserve">. Therefore, the primary duty of a local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t xml:space="preserve">is to establish genomic databases specific to the Qatari population. By identifying genetic predispositions common in this demographic, researchers enable precision medicine approaches that are more effective and cost-efficient.</w:t>
      </w:r>
    </w:p>
    <w:bookmarkEnd w:id="22"/>
    <w:bookmarkStart w:id="23" w:name="X3eba9a365ed11690d159f5906760cee33206528"/>
    <w:p>
      <w:pPr>
        <w:pStyle w:val="Heading3"/>
      </w:pPr>
      <w:r>
        <w:t xml:space="preserve">3.2 Bridging Clinical Practice and Academic Theory</w:t>
      </w:r>
    </w:p>
    <w:p>
      <w:pPr>
        <w:pStyle w:val="FirstParagraph"/>
      </w:pPr>
      <w:r>
        <w:t xml:space="preserve">Institutions such as Hamad Medical Corporation (HMC) and Sidra Medicine serve as both clinical providers and research hubs. The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, particularly those with dual roles in clinical practice, acts as a bridge between patient care and scientific discovery. They translate bedside observations into research questions, ensuring that studies conducted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are clinically relevant rather than purely theoretical.</w:t>
      </w:r>
    </w:p>
    <w:bookmarkEnd w:id="23"/>
    <w:bookmarkStart w:id="24" w:name="X92f4a1fed771ca203a29117d06f59a8f3c690e7"/>
    <w:p>
      <w:pPr>
        <w:pStyle w:val="Heading3"/>
      </w:pPr>
      <w:r>
        <w:t xml:space="preserve">3.3 Global Collaboration and Knowledge Export</w:t>
      </w:r>
    </w:p>
    <w:p>
      <w:pPr>
        <w:pStyle w:val="FirstParagraph"/>
      </w:pPr>
      <w:r>
        <w:rPr>
          <w:bCs/>
          <w:b/>
        </w:rPr>
        <w:t xml:space="preserve">Qatar Doha</w:t>
      </w:r>
      <w:r>
        <w:t xml:space="preserve">'s medical researchers do not work in isolation. They are active participants in international consortia. By publishing high-impact research, these professionals enhance the global reputation of Qatari institutions while bringing world-class knowledge back to the local population. This bidirectional flow of information ensures that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remains at the forefront of medical science.</w:t>
      </w:r>
    </w:p>
    <w:bookmarkEnd w:id="24"/>
    <w:bookmarkEnd w:id="25"/>
    <w:bookmarkStart w:id="26" w:name="Xc999aad4226dc85c3d270b7daf1d2eed049d2f4"/>
    <w:p>
      <w:pPr>
        <w:pStyle w:val="Heading2"/>
      </w:pPr>
      <w:r>
        <w:t xml:space="preserve">4. Institutional Support and Infrastructure in Qatar Doha</w:t>
      </w:r>
    </w:p>
    <w:p>
      <w:pPr>
        <w:pStyle w:val="FirstParagraph"/>
      </w:pPr>
      <w:r>
        <w:t xml:space="preserve">The efficacy of any researcher is dependent on their environment.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, the government has established world-class facilities to support scientific inquiry. The Qatar Biomedical Research Institute (QBRI) and Weill Cornell Medicine-Qatar are pivotal in this regard.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Funding:</w:t>
      </w:r>
      <w:r>
        <w:t xml:space="preserve"> </w:t>
      </w:r>
      <w:r>
        <w:t xml:space="preserve">Significant grants from the Qatar National Research Fund (QNRF) allow</w:t>
      </w:r>
      <w:r>
        <w:t xml:space="preserve"> </w:t>
      </w:r>
      <w:r>
        <w:rPr>
          <w:bCs/>
          <w:b/>
        </w:rPr>
        <w:t xml:space="preserve">medical researchers</w:t>
      </w:r>
      <w:r>
        <w:t xml:space="preserve"> </w:t>
      </w:r>
      <w:r>
        <w:t xml:space="preserve">to pursue high-risk, high-reward projects without immediate commercial pressure.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Talent Acquisition:</w:t>
      </w:r>
      <w:r>
        <w:t xml:space="preserve"> </w:t>
      </w:r>
      <w:r>
        <w:t xml:space="preserve">Policies encouraging expatriate expertise alongside Qatari national training ensure that local researchers benefit from global best practices while contributing to the nation's intellectual capital.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Access:</w:t>
      </w:r>
      <w:r>
        <w:t xml:space="preserve"> </w:t>
      </w:r>
      <w:r>
        <w:t xml:space="preserve">Advanced electronic health records systems in hospitals across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provide researchers with vast amounts of anonymized data, facilitating large-scale epidemiological studies.</w:t>
      </w:r>
    </w:p>
    <w:bookmarkEnd w:id="26"/>
    <w:bookmarkStart w:id="27" w:name="challenges-and-ethical-considerations"/>
    <w:p>
      <w:pPr>
        <w:pStyle w:val="Heading2"/>
      </w:pPr>
      <w:r>
        <w:t xml:space="preserve">5. Challenges and Ethical Considerations</w:t>
      </w:r>
    </w:p>
    <w:p>
      <w:pPr>
        <w:pStyle w:val="FirstParagraph"/>
      </w:pPr>
      <w:r>
        <w:t xml:space="preserve">Despite the robust support system, the work of a</w:t>
      </w:r>
      <w:r>
        <w:t xml:space="preserve"> </w:t>
      </w:r>
      <w:r>
        <w:rPr>
          <w:bCs/>
          <w:b/>
        </w:rPr>
        <w:t xml:space="preserve">medical researcher</w:t>
      </w:r>
      <w:r>
        <w:t xml:space="preserve"> </w:t>
      </w:r>
      <w:r>
        <w:rPr>
          <w:iCs/>
          <w:i/>
        </w:rPr>
        <w:t xml:space="preserve">in Qatar Doha</w:t>
      </w:r>
    </w:p>
    <w:p>
      <w:pPr>
        <w:pStyle w:val="BodyText"/>
      </w:pPr>
      <w:r>
        <w:t xml:space="preserve">faces distinct challenges.</w:t>
      </w:r>
    </w:p>
    <w:p>
      <w:pPr>
        <w:pStyle w:val="BodyTex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Research involving human subjects must adhere to strict Islamic ethical guidelines.</w:t>
      </w:r>
      <w:r>
        <w:t xml:space="preserve"> </w:t>
      </w:r>
      <w:r>
        <w:rPr>
          <w:bCs/>
          <w:b/>
        </w:rPr>
        <w:t xml:space="preserve">medical researchers</w:t>
      </w:r>
      <w:r>
        <w:t xml:space="preserve"> </w:t>
      </w:r>
      <w:r>
        <w:t xml:space="preserve">must navigate the intersection of modern scientific methodologies with local cultural values, ensuring informed consent and privacy are maintained in culturally appropriate ways.</w:t>
      </w:r>
    </w:p>
    <w:p>
      <w:pPr>
        <w:pStyle w:val="BodyText"/>
      </w:pPr>
      <w:r>
        <w:t xml:space="preserve">Sustainability:The transition from imported knowledge to indigenous innovation requires long-term commitment. Ensuring that Qatari nationals take leadership roles in research institutions is vital for the sustainability of the healthcare system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.</w:t>
      </w:r>
    </w:p>
    <w:bookmarkEnd w:id="27"/>
    <w:bookmarkStart w:id="28" w:name="the-future-outlook"/>
    <w:p>
      <w:pPr>
        <w:pStyle w:val="Heading2"/>
      </w:pPr>
      <w:r>
        <w:t xml:space="preserve">6. The Future Outlook</w:t>
      </w:r>
    </w:p>
    <w:p>
      <w:pPr>
        <w:pStyle w:val="FirstParagraph"/>
      </w:pPr>
      <w:r>
        <w:t xml:space="preserve">The future of healthcare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rPr>
          <w:iCs/>
          <w:i/>
        </w:rPr>
        <w:t xml:space="preserve">depends heavily on the continued evolution of the medical researcher.</w:t>
      </w:r>
      <w:r>
        <w:t xml:space="preserve"> </w:t>
      </w:r>
      <w:r>
        <w:t xml:space="preserve">As artificial intelligence, big data analytics, and telemedicine become integrated into clinical care, the skill set of researchers must adapt. The next generation of</w:t>
      </w:r>
      <w:r>
        <w:t xml:space="preserve"> </w:t>
      </w:r>
      <w:r>
        <w:rPr>
          <w:bCs/>
          <w:b/>
        </w:rPr>
        <w:t xml:space="preserve">medical researchers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will likely be hybrid professionals—part scientist, part data analyst, and part clinician.</w:t>
      </w:r>
      <w:r>
        <w:br/>
      </w:r>
    </w:p>
    <w:p>
      <w:pPr>
        <w:pStyle w:val="BodyText"/>
      </w:pPr>
      <w:r>
        <w:t xml:space="preserve">Potential areas for future research include the long-term health impacts of rapid urbanization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, the development of vaccines tailored to regional pathogens, and the expansion of regenerative medicine. These initiatives will not only improve local health outcomes but also position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as a leader in Middle Eastern medical innovation.</w:t>
      </w:r>
    </w:p>
    <w:bookmarkEnd w:id="28"/>
    <w:bookmarkStart w:id="30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the medical researcher is the cornerstone of modern healthcare development in this region.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, this role is amplified by strong governmental support, a unique demographic profile requiring localized study, and a strategic vision for economic diversification. The synergy between national policy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and the scientific rigor of the</w:t>
      </w:r>
      <w:r>
        <w:t xml:space="preserve"> </w:t>
      </w:r>
      <w:r>
        <w:rPr>
          <w:bCs/>
          <w:b/>
        </w:rPr>
        <w:t xml:space="preserve">medical researcher</w:t>
      </w:r>
      <w:r>
        <w:rPr>
          <w:bCs/>
          <w:b/>
        </w:rPr>
        <w:t xml:space="preserve"> </w:t>
      </w:r>
      <w:r>
        <w:rPr>
          <w:bCs/>
          <w:b/>
        </w:rPr>
        <w:t xml:space="preserve">creates a fertile ground for innovation.</w:t>
      </w:r>
      <w:r>
        <w:br/>
      </w:r>
    </w:p>
    <w:p>
      <w:pPr>
        <w:pStyle w:val="BodyText"/>
      </w:pPr>
      <w:r>
        <w:t xml:space="preserve">Moving forward, it is imperative that stakeholders continue to invest in research infrastructure and human capital. By empowering</w:t>
      </w:r>
      <w:r>
        <w:t xml:space="preserve"> </w:t>
      </w:r>
      <w:r>
        <w:rPr>
          <w:bCs/>
          <w:b/>
        </w:rPr>
        <w:t xml:space="preserve">medical researchers</w:t>
      </w:r>
      <w:r>
        <w:t xml:space="preserve">, Qatar ensures that its healthcare system remains resilient, responsive, and world-class. The journey of the medical researcher in this dynamic city is not just about discovering new treatments; it is about shaping the future quality of life for citizens and residents alike.</w:t>
      </w:r>
    </w:p>
    <w:p>
      <w:r>
        <w:pict>
          <v:rect style="width:0;height:1.5pt" o:hralign="center" o:hrstd="t" o:hr="t"/>
        </w:pict>
      </w:r>
    </w:p>
    <w:bookmarkStart w:id="29" w:name="references"/>
    <w:p>
      <w:pPr>
        <w:pStyle w:val="Heading3"/>
      </w:pPr>
      <w:r>
        <w:t xml:space="preserve">References</w:t>
      </w:r>
    </w:p>
    <w:p>
      <w:pPr>
        <w:numPr>
          <w:ilvl w:val="0"/>
          <w:numId w:val="1002"/>
        </w:numPr>
        <w:pStyle w:val="Compact"/>
      </w:pPr>
      <w:r>
        <w:t xml:space="preserve">Ministry of Public Health. (2023). Qatar National Health Strategy.</w:t>
      </w:r>
    </w:p>
    <w:p>
      <w:pPr>
        <w:numPr>
          <w:ilvl w:val="0"/>
          <w:numId w:val="1002"/>
        </w:numPr>
        <w:pStyle w:val="Compact"/>
      </w:pPr>
      <w:r>
        <w:t xml:space="preserve">Qatar National Research Fund. (2024). Annual Report on Biomedical Research Initiatives.</w:t>
      </w:r>
    </w:p>
    <w:p>
      <w:pPr>
        <w:numPr>
          <w:ilvl w:val="0"/>
          <w:numId w:val="1002"/>
        </w:numPr>
        <w:pStyle w:val="Compact"/>
      </w:pPr>
      <w:r>
        <w:t xml:space="preserve">Al-Thani, M., et al. (2021). "Genomic Variations in the Qatari Population: Implications for Precision Medicine." Journal of Middle Eastern Medical Science.</w:t>
      </w:r>
    </w:p>
    <w:p>
      <w:pPr>
        <w:numPr>
          <w:ilvl w:val="0"/>
          <w:numId w:val="1002"/>
        </w:numPr>
        <w:pStyle w:val="Compact"/>
      </w:pPr>
      <w:r>
        <w:t xml:space="preserve">Qatar Foundation. (2023). Vision 2030: Healthcare and Education Pillars.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Medical Researcher in Qatar Doha: Advancing Healthcare Innovation</dc:title>
  <dc:creator/>
  <dc:language>en</dc:language>
  <cp:keywords/>
  <dcterms:created xsi:type="dcterms:W3CDTF">2026-07-29T18:10:01Z</dcterms:created>
  <dcterms:modified xsi:type="dcterms:W3CDTF">2026-07-29T18:10:01Z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