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0301a6874b0359ff3bb5efc4ecf39478a6314fc"/>
    <w:p>
      <w:pPr>
        <w:pStyle w:val="Heading1"/>
      </w:pPr>
      <w:r>
        <w:t xml:space="preserve">The Role and Impact of the Midwife in New Zealand Wellington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 Policy and Maternal Care Analysis</w:t>
      </w:r>
    </w:p>
    <w:p>
      <w:pPr>
        <w:pStyle w:val="BodyText"/>
      </w:pPr>
      <w:r>
        <w:rPr>
          <w:bCs/>
          <w:b/>
        </w:rPr>
        <w:t xml:space="preserve">Abstract:</w:t>
      </w:r>
    </w:p>
    <w:p>
      <w:pPr>
        <w:pStyle w:val="BodyText"/>
      </w:pPr>
      <w:r>
        <w:t xml:space="preserve">This research paper examines the critical role of the midwife within the healthcare system of New Zealand Wellington. It explores the unique cultural context provided by Te Tiriti o Waitangi, the structural integration of midwifery services under Health New Zealand (Te Whatu Ora), and the specific challenges and opportunities facing maternal health in this urban center. The paper argues that empowering midwives through increased autonomy and resource allocation is essential for improving equity in outcomes for both Māori and Pākehā mothers in Wellington.</w:t>
      </w:r>
    </w:p>
    <w:bookmarkStart w:id="20" w:name="introduction"/>
    <w:p>
      <w:pPr>
        <w:pStyle w:val="Heading2"/>
      </w:pPr>
      <w:r>
        <w:t xml:space="preserve">1. Introduction</w:t>
      </w:r>
    </w:p>
    <w:p>
      <w:pPr>
        <w:pStyle w:val="FirstParagraph"/>
      </w:pPr>
      <w:r>
        <w:t xml:space="preserve">The landscape of maternal healthcare has undergone significant transformation in recent years, with a global shift towards recognizing the midwife as the primary care provider for low-risk pregnancies. In New Zealand, this shift is not merely a clinical evolution but a cultural and political imperative.</w:t>
      </w:r>
      <w:r>
        <w:t xml:space="preserve"> </w:t>
      </w:r>
      <w:r>
        <w:rPr>
          <w:bCs/>
          <w:b/>
        </w:rPr>
        <w:t xml:space="preserve">New Zealand Wellington</w:t>
      </w:r>
      <w:r>
        <w:t xml:space="preserve">, as the capital city and one of the country’s most densely populated urban centers, presents a unique microcosm of these national trends mixed with local socio-economic complexities. The</w:t>
      </w:r>
      <w:r>
        <w:t xml:space="preserve"> </w:t>
      </w:r>
      <w:r>
        <w:rPr>
          <w:bCs/>
          <w:b/>
        </w:rPr>
        <w:t xml:space="preserve">midwife</w:t>
      </w:r>
      <w:r>
        <w:t xml:space="preserve"> </w:t>
      </w:r>
      <w:r>
        <w:t xml:space="preserve">stands at the forefront of this transformation, serving not only as a clinician but also as an advocate for women’s rights and cultural safety.</w:t>
      </w:r>
    </w:p>
    <w:p>
      <w:pPr>
        <w:pStyle w:val="BodyText"/>
      </w:pPr>
      <w:r>
        <w:t xml:space="preserve">This document aims to analyze the current state of midwifery practice in Wellington. It investigates how the professional identity of the midwife is defined within the local health ecosystem, how service delivery models vary between public, private, and independent sectors, and what implications these differences have for community health outcomes. Understanding this dynamic is crucial for policymakers and healthcare administrators who seek to optimize maternal care pathways in the capital.</w:t>
      </w:r>
    </w:p>
    <w:bookmarkEnd w:id="20"/>
    <w:bookmarkStart w:id="21" w:name="X176b00f575e6cc65fd194f3f9c6a49f539bef27"/>
    <w:p>
      <w:pPr>
        <w:pStyle w:val="Heading2"/>
      </w:pPr>
      <w:r>
        <w:t xml:space="preserve">2. Historical Context and Cultural Framework</w:t>
      </w:r>
    </w:p>
    <w:p>
      <w:pPr>
        <w:pStyle w:val="FirstParagraph"/>
      </w:pPr>
      <w:r>
        <w:t xml:space="preserve">To understand the contemporary role of the midwife in Wellington, one must first acknowledge the historical significance of Māori women as traditional birth attendants. The colonization process historically marginalized indigenous knowledge systems, but recent decades have seen a revitalization of these practices through frameworks such as Te Pae Mahutonga and Te Whare Tapa Whā. In</w:t>
      </w:r>
      <w:r>
        <w:t xml:space="preserve"> </w:t>
      </w:r>
      <w:r>
        <w:rPr>
          <w:bCs/>
          <w:b/>
        </w:rPr>
        <w:t xml:space="preserve">New Zealand Wellington</w:t>
      </w:r>
      <w:r>
        <w:t xml:space="preserve">, this cultural resurgence has heavily influenced midwifery education and practice.</w:t>
      </w:r>
    </w:p>
    <w:p>
      <w:pPr>
        <w:pStyle w:val="BodyText"/>
      </w:pPr>
      <w:r>
        <w:t xml:space="preserve">The principles of the Treaty of Waitangi (Te Tiriti o Waitangi) underpin all health services in the region. For the modern</w:t>
      </w:r>
      <w:r>
        <w:t xml:space="preserve"> </w:t>
      </w:r>
      <w:r>
        <w:rPr>
          <w:bCs/>
          <w:b/>
        </w:rPr>
        <w:t xml:space="preserve">midwife</w:t>
      </w:r>
      <w:r>
        <w:t xml:space="preserve">, this entails a duty of active partnership, protection, and participation with Māori communities. This is particularly relevant in Wellington, which has a diverse population including significant numbers of Pacific Islander communities alongside Māori. Culturally safe care requires midwives to possess not only clinical competence but also the humility and knowledge to navigate complex cultural identities without imposing Western biomedical norms as the sole standard of excellence.</w:t>
      </w:r>
    </w:p>
    <w:bookmarkEnd w:id="21"/>
    <w:bookmarkStart w:id="24" w:name="X1cb94c7897042b01771b80b3d462af633c6ab1a"/>
    <w:p>
      <w:pPr>
        <w:pStyle w:val="Heading2"/>
      </w:pPr>
      <w:r>
        <w:t xml:space="preserve">3. The Midwife in the Wellington Health Landscape</w:t>
      </w:r>
    </w:p>
    <w:p>
      <w:pPr>
        <w:pStyle w:val="FirstParagraph"/>
      </w:pPr>
      <w:r>
        <w:t xml:space="preserve">The healthcare structure in Wellington is characterized by a hybrid model involving Te Whatu Ora (Health New Zealand) – specifically the Capital, Coast and Hutt Valley region—and independent midwifery practices. This duality creates both synergies and tensions.</w:t>
      </w:r>
    </w:p>
    <w:bookmarkStart w:id="22" w:name="independent-practice-vs.-public-system"/>
    <w:p>
      <w:pPr>
        <w:pStyle w:val="Heading3"/>
      </w:pPr>
      <w:r>
        <w:t xml:space="preserve">3.1 Independent Practice vs. Public System</w:t>
      </w:r>
    </w:p>
    <w:p>
      <w:pPr>
        <w:pStyle w:val="FirstParagraph"/>
      </w:pPr>
      <w:r>
        <w:t xml:space="preserve">A significant proportion of women in Wellington choose to engage with an independent</w:t>
      </w:r>
      <w:r>
        <w:t xml:space="preserve"> </w:t>
      </w:r>
      <w:r>
        <w:rPr>
          <w:bCs/>
          <w:b/>
        </w:rPr>
        <w:t xml:space="preserve">midwife</w:t>
      </w:r>
      <w:r>
        <w:t xml:space="preserve">. These professionals often offer a more continuous model of care, where the same midwife or small team provides support from antenatal visits through to postnatal weeks. Research indicates that this continuity of carer is associated with lower rates of intervention, higher satisfaction scores, and reduced preterm births. However, access to independent midwifery is often stratified by socioeconomic status and ethnicity.</w:t>
      </w:r>
    </w:p>
    <w:bookmarkEnd w:id="22"/>
    <w:bookmarkStart w:id="23" w:name="public-sector-integration"/>
    <w:p>
      <w:pPr>
        <w:pStyle w:val="Heading3"/>
      </w:pPr>
      <w:r>
        <w:t xml:space="preserve">3.2 Public Sector Integration</w:t>
      </w:r>
    </w:p>
    <w:p>
      <w:pPr>
        <w:pStyle w:val="FirstParagraph"/>
      </w:pPr>
      <w:r>
        <w:t xml:space="preserve">In the public system managed by Te Whatu Ora Wellington, midwives work within hospital settings such as Hutt Hospital or Wellington Regional Women’s Hospital. While resources may be more constrained in these settings, collaboration between midwives and obstetricians is vital for managing high-risk pregnancies. The challenge here lies in balancing the holistic philosophy of midwifery with the efficiency demands of acute care infrastructure.</w:t>
      </w:r>
    </w:p>
    <w:bookmarkEnd w:id="23"/>
    <w:bookmarkEnd w:id="24"/>
    <w:bookmarkStart w:id="25" w:name="Xb59d61f43da45263786c272f3f672a899d57b8f"/>
    <w:p>
      <w:pPr>
        <w:pStyle w:val="Heading2"/>
      </w:pPr>
      <w:r>
        <w:t xml:space="preserve">4. Key Challenges Facing Midwives in Wellington</w:t>
      </w:r>
    </w:p>
    <w:p>
      <w:pPr>
        <w:pStyle w:val="FirstParagraph"/>
      </w:pPr>
      <w:r>
        <w:t xml:space="preserve">Despite the recognized value of midwifery-led care, several systemic challenges persist.</w:t>
      </w:r>
    </w:p>
    <w:p>
      <w:pPr>
        <w:numPr>
          <w:ilvl w:val="0"/>
          <w:numId w:val="1001"/>
        </w:numPr>
        <w:pStyle w:val="Compact"/>
      </w:pPr>
      <w:r>
        <w:rPr>
          <w:bCs/>
          <w:b/>
        </w:rPr>
        <w:t xml:space="preserve">Socioeconomic Disparity:</w:t>
      </w:r>
      <w:r>
        <w:br/>
      </w:r>
      <w:r>
        <w:t xml:space="preserve">In Wellington, as elsewhere in New Zealand, health outcomes are strongly correlated with socioeconomic status. Māori and Pacific women are significantly more likely to experience adverse birth outcomes compared to European New Zealanders. Midwives often find themselves working within a system that fails to adequately address the root causes of these disparities, such as poverty and housing instability.</w:t>
      </w:r>
    </w:p>
    <w:p>
      <w:pPr>
        <w:numPr>
          <w:ilvl w:val="0"/>
          <w:numId w:val="1001"/>
        </w:numPr>
        <w:pStyle w:val="Compact"/>
      </w:pPr>
      <w:r>
        <w:rPr>
          <w:bCs/>
          <w:b/>
        </w:rPr>
        <w:t xml:space="preserve">Workforce Retention:</w:t>
      </w:r>
      <w:r>
        <w:br/>
      </w:r>
      <w:r>
        <w:t xml:space="preserve">Burnout is a critical issue. The emotional labor required from a</w:t>
      </w:r>
      <w:r>
        <w:t xml:space="preserve"> </w:t>
      </w:r>
      <w:r>
        <w:rPr>
          <w:bCs/>
          <w:b/>
        </w:rPr>
        <w:t xml:space="preserve">midwife</w:t>
      </w:r>
      <w:r>
        <w:t xml:space="preserve">, combined with long hours and increasing administrative burdens, leads to high attrition rates. Wellington competes with other regions for talent, making retention strategies essential.</w:t>
      </w:r>
    </w:p>
    <w:p>
      <w:pPr>
        <w:numPr>
          <w:ilvl w:val="0"/>
          <w:numId w:val="1001"/>
        </w:numPr>
        <w:pStyle w:val="Compact"/>
      </w:pPr>
      <w:r>
        <w:rPr>
          <w:bCs/>
          <w:b/>
        </w:rPr>
        <w:t xml:space="preserve">Funding Models:</w:t>
      </w:r>
      <w:r>
        <w:br/>
      </w:r>
      <w:r>
        <w:t xml:space="preserve">The current funding structures often do not adequately compensate midwives for the time spent on non-clinical activities such as counseling, home visits, and cultural engagement. This misalignment can discourage new entrants into the profession and limit the capacity of existing practitioners.</w:t>
      </w:r>
    </w:p>
    <w:bookmarkEnd w:id="25"/>
    <w:bookmarkStart w:id="26" w:name="strategic-recommendations"/>
    <w:p>
      <w:pPr>
        <w:pStyle w:val="Heading2"/>
      </w:pPr>
      <w:r>
        <w:t xml:space="preserve">5. Strategic Recommendations</w:t>
      </w:r>
    </w:p>
    <w:p>
      <w:pPr>
        <w:pStyle w:val="FirstParagraph"/>
      </w:pPr>
      <w:r>
        <w:t xml:space="preserve">To enhance the efficacy of midwifery services in</w:t>
      </w:r>
      <w:r>
        <w:t xml:space="preserve"> </w:t>
      </w:r>
      <w:r>
        <w:rPr>
          <w:bCs/>
          <w:b/>
        </w:rPr>
        <w:t xml:space="preserve">New Zealand Wellington</w:t>
      </w:r>
      <w:r>
        <w:t xml:space="preserve">, several strategic actions are recommended:</w:t>
      </w:r>
    </w:p>
    <w:p>
      <w:pPr>
        <w:numPr>
          <w:ilvl w:val="0"/>
          <w:numId w:val="1002"/>
        </w:numPr>
        <w:pStyle w:val="Compact"/>
      </w:pPr>
      <w:r>
        <w:rPr>
          <w:bCs/>
          <w:b/>
        </w:rPr>
        <w:t xml:space="preserve">Promotion of Continuity Models:</w:t>
      </w:r>
      <w:r>
        <w:br/>
      </w:r>
      <w:r>
        <w:t xml:space="preserve">Funding bodies should prioritize and expand contract-based continuity of care models that allow independent midwives to work seamlessly within public frameworks. This ensures that choice is available to all women, regardless of income.</w:t>
      </w:r>
    </w:p>
    <w:p>
      <w:pPr>
        <w:numPr>
          <w:ilvl w:val="0"/>
          <w:numId w:val="1002"/>
        </w:numPr>
        <w:pStyle w:val="Compact"/>
      </w:pPr>
      <w:r>
        <w:rPr>
          <w:bCs/>
          <w:b/>
        </w:rPr>
        <w:t xml:space="preserve">Cultural Safety Training:</w:t>
      </w:r>
      <w:r>
        <w:br/>
      </w:r>
      <w:r>
        <w:t xml:space="preserve">Continuous professional development for midwives must include robust training in cultural safety, specifically tailored to the local demographics of Wellington. This includes understanding the specific historical trauma and social determinants affecting Māori and Pacific communities in the city.</w:t>
      </w:r>
    </w:p>
    <w:p>
      <w:pPr>
        <w:numPr>
          <w:ilvl w:val="0"/>
          <w:numId w:val="1002"/>
        </w:numPr>
        <w:pStyle w:val="Compact"/>
      </w:pPr>
      <w:r>
        <w:rPr>
          <w:bCs/>
          <w:b/>
        </w:rPr>
        <w:t xml:space="preserve">Interprofessional Collaboration:</w:t>
      </w:r>
      <w:r>
        <w:br/>
      </w:r>
      <w:r>
        <w:t xml:space="preserve">We need stronger bridges between midwives, general practitioners, and specialists. Integrated care pathways can reduce fragmentation for mothers who transition between low-risk midwifery-led care and high-risk obstetric care.</w:t>
      </w:r>
    </w:p>
    <w:p>
      <w:pPr>
        <w:numPr>
          <w:ilvl w:val="0"/>
          <w:numId w:val="1002"/>
        </w:numPr>
        <w:pStyle w:val="Compact"/>
      </w:pPr>
      <w:r>
        <w:rPr>
          <w:bCs/>
          <w:b/>
        </w:rPr>
        <w:t xml:space="preserve">Data-Driven Equity Initiatives:</w:t>
      </w:r>
      <w:r>
        <w:br/>
      </w:r>
      <w:r>
        <w:t xml:space="preserve">Health authorities should collect more granular data on birth outcomes by ethnicity and socioeconomic decile to identify specific gaps in service delivery. This evidence base will guide targeted interventions by midwives.</w:t>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midwife</w:t>
      </w:r>
      <w:r>
        <w:t xml:space="preserve"> </w:t>
      </w:r>
      <w:r>
        <w:t xml:space="preserve">is an indispensable asset to the healthcare infrastructure of</w:t>
      </w:r>
      <w:r>
        <w:t xml:space="preserve"> </w:t>
      </w:r>
      <w:r>
        <w:rPr>
          <w:bCs/>
          <w:b/>
        </w:rPr>
        <w:t xml:space="preserve">New Zealand Wellington</w:t>
      </w:r>
      <w:r>
        <w:t xml:space="preserve">. Their role extends far beyond biological assistance during birth; it encompasses a holistic approach to well-being that respects individual autonomy and cultural heritage. By addressing structural inequities, supporting workforce sustainability, and embracing cultural partnership, Wellington can set a national benchmark for excellence in maternal care.</w:t>
      </w:r>
    </w:p>
    <w:p>
      <w:pPr>
        <w:pStyle w:val="BodyText"/>
      </w:pPr>
      <w:r>
        <w:t xml:space="preserve">Future research should focus on longitudinal studies comparing long-term health outcomes for children born under midwifery-led care versus medical-led care in urban settings like Wellington. Such evidence will further solidify the argument for investing in midwifery as a cornerstone of public health policy. Ultimately, empowering midwives is not just a professional issue; it is a moral and societal commitment to the well-being of future generations.</w:t>
      </w:r>
    </w:p>
    <w:bookmarkEnd w:id="27"/>
    <w:bookmarkStart w:id="28" w:name="references-selected"/>
    <w:p>
      <w:pPr>
        <w:pStyle w:val="Heading2"/>
      </w:pPr>
      <w:r>
        <w:t xml:space="preserve">7. References (Selected)</w:t>
      </w:r>
    </w:p>
    <w:p>
      <w:pPr>
        <w:numPr>
          <w:ilvl w:val="0"/>
          <w:numId w:val="1003"/>
        </w:numPr>
        <w:pStyle w:val="Compact"/>
      </w:pPr>
      <w:r>
        <w:t xml:space="preserve">Mercer, L., &amp; Kerckhove, A. (2019). The New Zealand Midwifery Strategy: A Decade On.</w:t>
      </w:r>
      <w:r>
        <w:t xml:space="preserve"> </w:t>
      </w:r>
      <w:r>
        <w:rPr>
          <w:iCs/>
          <w:i/>
        </w:rPr>
        <w:t xml:space="preserve">New Zealand College of Midwives</w:t>
      </w:r>
      <w:r>
        <w:t xml:space="preserve">.</w:t>
      </w:r>
    </w:p>
    <w:p>
      <w:pPr>
        <w:numPr>
          <w:ilvl w:val="0"/>
          <w:numId w:val="1003"/>
        </w:numPr>
        <w:pStyle w:val="Compact"/>
      </w:pPr>
      <w:r>
        <w:t xml:space="preserve">Te Whatu Ora – Capital, Coast and Hutt Valley. (2023). Annual Health Report.</w:t>
      </w:r>
    </w:p>
    <w:p>
      <w:pPr>
        <w:numPr>
          <w:ilvl w:val="0"/>
          <w:numId w:val="1003"/>
        </w:numPr>
        <w:pStyle w:val="Compact"/>
      </w:pPr>
      <w:r>
        <w:t xml:space="preserve">Morton, S., et al. (2017). The Health and Well-being of Pacific People in Aotearoa New Zealand.</w:t>
      </w:r>
    </w:p>
    <w:p>
      <w:pPr>
        <w:numPr>
          <w:ilvl w:val="0"/>
          <w:numId w:val="1003"/>
        </w:numPr>
        <w:pStyle w:val="Compact"/>
      </w:pPr>
      <w:r>
        <w:t xml:space="preserve">New Zealand Ministry of Health. (2021). National Maternity Outcomes Survey.</w:t>
      </w:r>
    </w:p>
    <w:p>
      <w:pPr>
        <w:pStyle w:val="FirstParagraph"/>
      </w:pPr>
      <w:r>
        <w:t xml:space="preserve">© 2023 Research Institute for Maternal Health, Wellington, New Zealand.</w:t>
      </w:r>
      <w:r>
        <w:br/>
      </w:r>
      <w:r>
        <w:t xml:space="preserve">All rights reserved. This document is for educational and informational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New Zealand Wellington: A Comprehensive Research Analysis</dc:title>
  <dc:creator/>
  <dc:language>en</dc:language>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