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0a87b5f89dbe537019529efa923a1cc3052e504"/>
    <w:p>
      <w:pPr>
        <w:pStyle w:val="Heading1"/>
      </w:pPr>
      <w:r>
        <w:t xml:space="preserve">The Evolution and Strategic Role of the Military Officer in the Islamic Republic of Iran</w:t>
      </w:r>
    </w:p>
    <w:p>
      <w:pPr>
        <w:pStyle w:val="FirstParagraph"/>
      </w:pPr>
      <w:r>
        <w:rPr>
          <w:bCs/>
          <w:b/>
        </w:rPr>
        <w:t xml:space="preserve">Date:</w:t>
      </w:r>
      <w:r>
        <w:t xml:space="preserve"> </w:t>
      </w:r>
      <w:r>
        <w:t xml:space="preserve">October 2023</w:t>
      </w:r>
      <w:r>
        <w:br/>
      </w:r>
      <w:r>
        <w:rPr>
          <w:bCs/>
          <w:b/>
        </w:rPr>
        <w:t xml:space="preserve">Location Context:</w:t>
      </w:r>
    </w:p>
    <w:p>
      <w:pPr>
        <w:pStyle w:val="BodyText"/>
      </w:pPr>
      <w:r>
        <w:t xml:space="preserve">Tehran, Iran</w:t>
      </w:r>
    </w:p>
    <w:p>
      <w:pPr>
        <w:pStyle w:val="BodyText"/>
      </w:pPr>
      <w:r>
        <w:br/>
      </w:r>
    </w:p>
    <w:p>
      <w:pPr>
        <w:pStyle w:val="BodyText"/>
      </w:pPr>
      <w:r>
        <w:t xml:space="preserve">**Abstract**</w:t>
      </w:r>
      <w:r>
        <w:t xml:space="preserve"> </w:t>
      </w:r>
      <w:r>
        <w:t xml:space="preserve">This research paper examines the multifaceted role of the military officer within the specific geopolitical and sociopolitical context of Iran Tehran. It explores how officers serve not merely as commanders of armed forces but as critical nodes in the intersection of religious ideology, state security, and economic power. By analyzing historical precedents from 1979 to present day developments involving both conventional branches like the Artesh and paramilitary bodies such as the Islamic Revolutionary Guard Corps (IRGC), this study highlights how officers in Tehran function as guardians of regime stability, enforcers of geopolitical strategy abroad, and influential actors within domestic civil society.</w:t>
      </w:r>
    </w:p>
    <w:bookmarkStart w:id="20" w:name="i.-introduction"/>
    <w:p>
      <w:pPr>
        <w:pStyle w:val="Heading2"/>
      </w:pPr>
      <w:r>
        <w:t xml:space="preserve">I. Introduction</w:t>
      </w:r>
    </w:p>
    <w:p>
      <w:pPr>
        <w:pStyle w:val="FirstParagraph"/>
      </w:pPr>
      <w:r>
        <w:t xml:space="preserve">To understand the contemporary landscape of Iran's security apparatus, one must first recognize that the concept of a "Military Officer" in Iran Tehran is distinct from traditional Western military paradigms. Unlike many secular states where military hierarchy remains strictly separate from political administration, the Iranian model integrates command structures with ideological supervision. This integration was institutionalized following the Islamic Revolution of 1979, which fundamentally restructured defense forces to ensure loyalty to the concept of</w:t>
      </w:r>
      <w:r>
        <w:t xml:space="preserve"> </w:t>
      </w:r>
      <w:r>
        <w:rPr>
          <w:iCs/>
          <w:i/>
        </w:rPr>
        <w:t xml:space="preserve">Velayat-e Faqih</w:t>
      </w:r>
      <w:r>
        <w:t xml:space="preserve"> </w:t>
      </w:r>
      <w:r>
        <w:t xml:space="preserve">(Guardianship of the Islamic Jurist). Consequently, officers operating out Tehran are tasked with a dual mandate: defending national borders against external threats and preserving internal revolutionary integrity. This paper argues that modern Iranian officers have evolved into a hybrid class—part soldier, part politician, and part economic manager—a phenomenon particularly pronounced in the capital region where strategic decisions are centralized.</w:t>
      </w:r>
    </w:p>
    <w:bookmarkEnd w:id="20"/>
    <w:bookmarkStart w:id="21" w:name="X73b3cc0046e96e0ea80e7f75209ec6fdd738192"/>
    <w:p>
      <w:pPr>
        <w:pStyle w:val="Heading2"/>
      </w:pPr>
      <w:r>
        <w:t xml:space="preserve">II. Historical Context: From Artesh to IRGC</w:t>
      </w:r>
    </w:p>
    <w:p>
      <w:pPr>
        <w:pStyle w:val="FirstParagraph"/>
      </w:pPr>
      <w:r>
        <w:t xml:space="preserve">The historical trajectory of military leadership in Iran Tehran began with a crisis of legitimacy. The pre-revolutionary Imperial Iranian Army (Artesh), while professionally competent, was viewed by revolutionary clergy as subservient to the Shah and disconnected from Islamic values. Post-1979 reforms led to the creation of two parallel military structures: the Artesh and the Islamic Revolutionary Guard Corps (IRGC). For decades, officers in both branches operated under strict civilian oversight; however, their roles have diverged significantly over time.</w:t>
      </w:r>
    </w:p>
    <w:p>
      <w:pPr>
        <w:pStyle w:val="BodyText"/>
      </w:pPr>
      <w:r>
        <w:t xml:space="preserve">In Tehran, IRGC officers have become increasingly prominent. Originally tasked with protecting revolutionary institutions against internal coups and foreign subversion these units rapidly expanded their operational scope. During the Iran-Iraq War (1980–1988) Tehran-based IRGC officers demonstrated exceptional tactical innovation through asymmetric warfare strategies. This experience transformed them from ideological guardians into a highly disciplined combat force capable of projecting power beyond Iranian borders.</w:t>
      </w:r>
    </w:p>
    <w:bookmarkEnd w:id="21"/>
    <w:bookmarkStart w:id="22" w:name="X55baac442b8faf76c3fc59c89660ed44256d4f1"/>
    <w:p>
      <w:pPr>
        <w:pStyle w:val="Heading2"/>
      </w:pPr>
      <w:r>
        <w:t xml:space="preserve">III. The Officer as Political Actor in Tehran</w:t>
      </w:r>
    </w:p>
    <w:p>
      <w:pPr>
        <w:pStyle w:val="FirstParagraph"/>
      </w:pPr>
      <w:r>
        <w:t xml:space="preserve">A unique characteristic of the military officer in Iran Tehran is the permeability between military service and political office. Senior officers often transition directly into high-ranking government positions or parliamentarian roles upon retirement. This phenomenon reflects a broader societal trust placed in military figures due to their perceived discipline, nationalism, and resistance against foreign sanctions.</w:t>
      </w:r>
    </w:p>
    <w:p>
      <w:pPr>
        <w:pStyle w:val="BodyText"/>
      </w:pPr>
      <w:r>
        <w:t xml:space="preserve">Recent years have seen an influx of former IRGC generals assuming key cabinet posts related to infrastructure, energy, and telecommunications. These appointments illustrate how officers are leveraged for their managerial capabilities as well as their security expertise. In Tehran this trend underscores a shift toward technocratic militarism where strategic planning extends beyond battlefield tactics to encompass national development goals.</w:t>
      </w:r>
    </w:p>
    <w:bookmarkEnd w:id="22"/>
    <w:bookmarkStart w:id="23" w:name="X4dae6ec89bbde1757958ce9467269d6ce541d74"/>
    <w:p>
      <w:pPr>
        <w:pStyle w:val="Heading2"/>
      </w:pPr>
      <w:r>
        <w:t xml:space="preserve">IV. Economic Influence and Corporate Leadership</w:t>
      </w:r>
    </w:p>
    <w:p>
      <w:pPr>
        <w:pStyle w:val="FirstParagraph"/>
      </w:pPr>
      <w:r>
        <w:t xml:space="preserve">Perhaps the most striking aspect of contemporary military officers in Iran Tehran is their extensive involvement in economic enterprises. Through conglomerates like Khatam al-Anbiya Construction Headquarters numerous IRGC-affiliated companies dominate sectors ranging from construction and mining to telecommunications.</w:t>
      </w:r>
    </w:p>
    <w:p>
      <w:pPr>
        <w:pStyle w:val="BodyText"/>
      </w:pPr>
      <w:r>
        <w:t xml:space="preserve">This economic dominance allows officers to influence policy indirectly through resource allocation and job creation. It also provides financial autonomy reducing reliance on state budgets which might be subject to political fluctuations. However critics argue that this entanglement creates conflicts of interest undermining transparency accountability within public institutions located primarily in Tehran where most corporate headquarters reside.</w:t>
      </w:r>
    </w:p>
    <w:bookmarkEnd w:id="23"/>
    <w:bookmarkStart w:id="24" w:name="X48327a7704466006bd9d09f8af8cdcda2acb2e1"/>
    <w:p>
      <w:pPr>
        <w:pStyle w:val="Heading2"/>
      </w:pPr>
      <w:r>
        <w:t xml:space="preserve">V. Geopolitical Projection and Regional Command</w:t>
      </w:r>
    </w:p>
    <w:p>
      <w:pPr>
        <w:pStyle w:val="FirstParagraph"/>
      </w:pPr>
      <w:r>
        <w:t xml:space="preserve">While based in Tehran senior military officers frequently oversee operations across the Middle East through specialized commands such as Quds Force under General Qasem Soleimani before his death in 2020. These commanders coordinate proxy militias intelligence gathering diplomatic engagements essentially serving as Iran's unofficial foreign policy ambassadors.</w:t>
      </w:r>
    </w:p>
    <w:p>
      <w:pPr>
        <w:pStyle w:val="BodyText"/>
      </w:pPr>
      <w:r>
        <w:t xml:space="preserve">This outward projection reinforces Tehran's status as a regional hegemon while simultaneously insulating the capital from direct threats. Officers stationed abroad gain valuable experience navigating complex international relations returning with networks that further entrench their influence domestically upon reassignment to Tehran-based headquarters.</w:t>
      </w:r>
    </w:p>
    <w:bookmarkEnd w:id="24"/>
    <w:bookmarkStart w:id="25" w:name="vi.-challenges-and-future-prospects"/>
    <w:p>
      <w:pPr>
        <w:pStyle w:val="Heading2"/>
      </w:pPr>
      <w:r>
        <w:t xml:space="preserve">VI. Challenges and Future Prospects</w:t>
      </w:r>
    </w:p>
    <w:p>
      <w:pPr>
        <w:pStyle w:val="FirstParagraph"/>
      </w:pPr>
      <w:r>
        <w:t xml:space="preserve">Despite their elevated status Iranian military officers face significant challenges including aging personnel ranks technological gaps compared to regional adversaries like Israel pressure from Western sanctions limiting access to advanced weaponry growing public dissatisfaction regarding economic hardship attributed partly mismanagement by elite groups including those connected to military institutions.</w:t>
      </w:r>
    </w:p>
    <w:p>
      <w:pPr>
        <w:pStyle w:val="BodyText"/>
      </w:pPr>
      <w:r>
        <w:t xml:space="preserve">Looking ahead it remains unclear whether Tehran will continue expanding the political economic footprint of its officer corps or seek greater separation between military and civilian spheres amid evolving domestic pressures. One thing certain however is that any discussion about national security in Iran must account for the pivotal role played by officers who embody both martial prowess ideological conviction and administrative authority.</w:t>
      </w:r>
    </w:p>
    <w:bookmarkEnd w:id="25"/>
    <w:bookmarkStart w:id="26" w:name="vii.-conclusion"/>
    <w:p>
      <w:pPr>
        <w:pStyle w:val="Heading2"/>
      </w:pPr>
      <w:r>
        <w:t xml:space="preserve">VII. Conclusion</w:t>
      </w:r>
    </w:p>
    <w:p>
      <w:pPr>
        <w:pStyle w:val="FirstParagraph"/>
      </w:pPr>
      <w:r>
        <w:t xml:space="preserve">In conclusion examining the role of Military Officers in Iran Tehran reveals a complex institution deeply intertwined with political ideology economic activity and regional geopolitics. These individuals represent more than just defenders of territorial integrity; they constitute an influential pillar supporting the structure of the Islamic Republic itself. As global dynamics shift so too will likely adapt its elite forces maintaining relevance through adaptation innovation resilience proving once again why understanding this unique cadre remains essential for anyone studying modern Iranian affairs.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2026-07-29T18:22:32Z</dcterms:created>
  <dcterms:modified xsi:type="dcterms:W3CDTF">2026-07-29T18:22:32Z</dcterms:modified>
</cp:coreProperties>
</file>

<file path=docProps/custom.xml><?xml version="1.0" encoding="utf-8"?>
<Properties xmlns="http://schemas.openxmlformats.org/officeDocument/2006/custom-properties" xmlns:vt="http://schemas.openxmlformats.org/officeDocument/2006/docPropsVTypes"/>
</file>