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Federal</w:t>
      </w:r>
      <w:r>
        <w:t xml:space="preserve"> </w:t>
      </w:r>
      <w:r>
        <w:t xml:space="preserve">District: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Practice,</w:t>
      </w:r>
      <w:r>
        <w:t xml:space="preserve"> </w:t>
      </w:r>
      <w:r>
        <w:t xml:space="preserve">Policy,</w:t>
      </w:r>
      <w:r>
        <w:t xml:space="preserve"> </w:t>
      </w:r>
      <w:r>
        <w:t xml:space="preserve">and</w:t>
      </w:r>
      <w:r>
        <w:t xml:space="preserve"> </w:t>
      </w:r>
      <w:r>
        <w:t xml:space="preserve">Professional</w:t>
      </w:r>
      <w:r>
        <w:t xml:space="preserve"> </w:t>
      </w:r>
      <w:r>
        <w:t xml:space="preserve">Identity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Occupational Therapist in the Federal District: A Research Paper on Practice, Policy, and Professional Identity in Brazil Brasília</dc:title>
  <dc:creator/>
  <dc:language>en</dc:language>
  <cp:keywords/>
  <dcterms:created xsi:type="dcterms:W3CDTF">2026-09-28T20:04:31Z</dcterms:created>
  <dcterms:modified xsi:type="dcterms:W3CDTF">2026-09-28T20:04:31Z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