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5491e601cecf4e3bf74a92902d21a003c960edf"/>
    <w:p>
      <w:pPr>
        <w:pStyle w:val="Heading1"/>
      </w:pPr>
      <w:r>
        <w:t xml:space="preserve">The Evolving Role of the Optometrist in New Zealand Wellington: A Comprehensive Research Paper</w:t>
      </w:r>
    </w:p>
    <w:p>
      <w:pPr>
        <w:pStyle w:val="FirstParagraph"/>
      </w:pPr>
      <w:r>
        <w:rPr>
          <w:bCs/>
          <w:b/>
        </w:rPr>
        <w:t xml:space="preserve">Abstract:</w:t>
      </w:r>
    </w:p>
    <w:p>
      <w:pPr>
        <w:pStyle w:val="BodyText"/>
      </w:pPr>
      <w:r>
        <w:t xml:space="preserve">This research paper examines the critical role, professional scope, and systemic challenges faced by optometrists operating within the specific socio-geographic context of New Zealand Wellington. As primary eye care providers in Aotearoa, optometrists are pivotal in maintaining public health outcomes. This document analyzes the regulatory framework established by New Zealand law, the unique demographic and environmental factors influencing Wellington's population, and the intersection of private practice with government subsidies under Health NZ (Te Whatu Ora) and WorkSafe protocols.</w:t>
      </w:r>
    </w:p>
    <w:bookmarkStart w:id="20" w:name="introduction"/>
    <w:p>
      <w:pPr>
        <w:pStyle w:val="Heading2"/>
      </w:pPr>
      <w:r>
        <w:t xml:space="preserve">1. Introduction</w:t>
      </w:r>
    </w:p>
    <w:p>
      <w:pPr>
        <w:pStyle w:val="FirstParagraph"/>
      </w:pPr>
      <w:r>
        <w:t xml:space="preserve">The profession of optometry has undergone significant transformation over the last two decades, particularly in New Zealand Wellington. No longer confined to the simple dispensing of spectacles, modern optometrists serve as essential primary healthcare practitioners responsible for diagnosing ocular disease, managing systemic health conditions reflected in eye health, and providing preventative care. Wellington, as the capital city and a hub for diverse medical services in the North Island of New Zealand, presents a unique landscape for this profession. This paper explores how optometrists function within Wellington’s specific healthcare ecosystem, addressing regulatory compliance with WorkSafe New Zealand standards, community engagement strategies in Aotearoa’s multicultural society, and the economic realities of private practice amidst public funding constraints.</w:t>
      </w:r>
    </w:p>
    <w:bookmarkEnd w:id="20"/>
    <w:bookmarkStart w:id="21" w:name="Xdcd2b5b4b82e4e760d77d1f8d918a282d5baa0a"/>
    <w:p>
      <w:pPr>
        <w:pStyle w:val="Heading2"/>
      </w:pPr>
      <w:r>
        <w:t xml:space="preserve">2. Regulatory Framework and Professional Standards in New Zealand</w:t>
      </w:r>
    </w:p>
    <w:p>
      <w:pPr>
        <w:pStyle w:val="FirstParagraph"/>
      </w:pPr>
      <w:r>
        <w:t xml:space="preserve">In New Zealand Wellington, the practice of optometry is strictly regulated to ensure patient safety and professional integrity. The cornerstone of this regulation is the</w:t>
      </w:r>
      <w:r>
        <w:t xml:space="preserve"> </w:t>
      </w:r>
      <w:r>
        <w:rPr>
          <w:bCs/>
          <w:b/>
        </w:rPr>
        <w:t xml:space="preserve">New Zealand Register of Optometrists</w:t>
      </w:r>
      <w:r>
        <w:t xml:space="preserve">, maintained by the Optical Dispensers Board under the Health Practitioners Competence Assurance Act 2003 (HPCA). Any individual practicing as an optometrist in Wellington must hold a current license to practice. This licensing ensures that all practitioners meet rigorous educational and clinical competency standards.</w:t>
      </w:r>
    </w:p>
    <w:p>
      <w:pPr>
        <w:pStyle w:val="BodyText"/>
      </w:pPr>
      <w:r>
        <w:t xml:space="preserve">A critical component of professional practice in New Zealand is adherence to occupational health and safety regulations enforced by</w:t>
      </w:r>
      <w:r>
        <w:t xml:space="preserve"> </w:t>
      </w:r>
      <w:r>
        <w:rPr>
          <w:bCs/>
          <w:b/>
        </w:rPr>
        <w:t xml:space="preserve">WorkSafe New Zealand</w:t>
      </w:r>
      <w:r>
        <w:t xml:space="preserve">. While WorkSafe is often associated with industrial environments, its guidelines significantly impact healthcare settings. For optometrists in Wellington, this includes the management of hazardous materials such as disinfectants used for contact lens solutions, proper ergonomic practices to prevent musculoskeletal disorders among staff, and emergency preparedness protocols within clinical premises. Compliance with these standards is not merely bureaucratic; it is fundamental to maintaining a safe environment for both practitioners and patients in Wellington’s busy urban clinics.</w:t>
      </w:r>
    </w:p>
    <w:p>
      <w:pPr>
        <w:pStyle w:val="BodyText"/>
      </w:pPr>
      <w:r>
        <w:t xml:space="preserve">Furthermore, the Optical Council of New Zealand (OCNZ) plays a vital role in setting continuing professional development (CPD) requirements. Optometrists operating in Wellington must regularly update their knowledge regarding new diagnostic technologies, such as Optical Coherence Tomography (OCT) and wide-field retinal imaging. This ensures that eye care professionals remain at the forefront of medical advancements, directly benefiting the local population through early detection of conditions like glaucoma, diabetic retinopathy, and age-related macular degeneration.</w:t>
      </w:r>
    </w:p>
    <w:bookmarkEnd w:id="21"/>
    <w:bookmarkStart w:id="24" w:name="the-wellington-demographic-context"/>
    <w:p>
      <w:pPr>
        <w:pStyle w:val="Heading2"/>
      </w:pPr>
      <w:r>
        <w:t xml:space="preserve">3. The Wellington Demographic Context</w:t>
      </w:r>
    </w:p>
    <w:p>
      <w:pPr>
        <w:pStyle w:val="FirstParagraph"/>
      </w:pPr>
      <w:r>
        <w:t xml:space="preserve">The city of Wellington possesses distinct demographic characteristics that influence how optometry is practiced. As a dense urban center with a high proportion of younger professionals and students, as well as an aging population in its suburban outskirts like Lower Hutt and Upper Hutt (part of the broader Wellington region), optometrists must adopt a versatile approach to patient care.</w:t>
      </w:r>
    </w:p>
    <w:bookmarkStart w:id="22" w:name="Xced72380e20461bb8293186dae2a18a741fc5bb"/>
    <w:p>
      <w:pPr>
        <w:pStyle w:val="Heading3"/>
      </w:pPr>
      <w:r>
        <w:t xml:space="preserve">3.1 Cultural Competence and Te Tiriti o Waitangi</w:t>
      </w:r>
    </w:p>
    <w:p>
      <w:pPr>
        <w:pStyle w:val="FirstParagraph"/>
      </w:pPr>
      <w:r>
        <w:t xml:space="preserve">In New Zealand, healthcare providers are increasingly expected to align their practices with the principles of Te Tiriti o Waitangi (The Treaty of Waitangi). For optometrists in Wellington, this involves providing culturally responsive care to Māori communities. This includes understanding specific ocular health disparities that may affect indigenous populations and ensuring that communication styles are respectful and inclusive. Engaging effectively with local iwi (tribes) can facilitate better health outcomes and trust-building within the community.</w:t>
      </w:r>
    </w:p>
    <w:bookmarkEnd w:id="22"/>
    <w:bookmarkStart w:id="23" w:name="urban-health-challenges"/>
    <w:p>
      <w:pPr>
        <w:pStyle w:val="Heading3"/>
      </w:pPr>
      <w:r>
        <w:t xml:space="preserve">3.2 Urban Health Challenges</w:t>
      </w:r>
    </w:p>
    <w:p>
      <w:pPr>
        <w:pStyle w:val="FirstParagraph"/>
      </w:pPr>
      <w:r>
        <w:t xml:space="preserve">Wellington’s urban density contributes to lifestyle factors such as prolonged screen time due to high rates of office-based employment in the capital. This has led to a rising prevalence of digital eye strain and myopia (nearsightedness), particularly among school-aged children. Optometrists in Wellington are increasingly involved in myopia management programs, utilizing specialized contact lenses and low-dose atropine drops to slow progression. Additionally, the city’s windy climate necessitates a higher demand for protective eyewear against environmental irritants, requiring optometrists to advise on appropriate lens coatings and frame designs that offer superior wind protection.</w:t>
      </w:r>
    </w:p>
    <w:bookmarkEnd w:id="23"/>
    <w:bookmarkEnd w:id="24"/>
    <w:bookmarkStart w:id="25" w:name="Xd4d7f809d3677cf2169ad99e5f8e8440d02ed69"/>
    <w:p>
      <w:pPr>
        <w:pStyle w:val="Heading2"/>
      </w:pPr>
      <w:r>
        <w:t xml:space="preserve">4. Economic Landscape: Private Practice and Public Subsidies</w:t>
      </w:r>
    </w:p>
    <w:p>
      <w:pPr>
        <w:pStyle w:val="FirstParagraph"/>
      </w:pPr>
      <w:r>
        <w:t xml:space="preserve">The financial structure of eye care in Wellington is a blend of private enterprise and public subsidy. The New Zealand government provides subsidies for specific groups, including school leavers (aged 16-18 years) who are eligible for one free sight test and frames every two years under the School Leaver’s Scheme. Optometrists operating clinics in Wellington must navigate this system efficiently to ensure accessibility for these young people.</w:t>
      </w:r>
    </w:p>
    <w:p>
      <w:pPr>
        <w:pStyle w:val="BodyText"/>
      </w:pPr>
      <w:r>
        <w:t xml:space="preserve">However, the majority of eye care services are paid privately. This creates a dual challenge: maintaining affordability for low-to-middle-income families while sustaining viable business operations. In recent years, the economic pressure on businesses in New Zealand Wellington has impacted disposable income, leading to increased consumer scrutiny on prices. Consequently, many optometrists have shifted towards value-added services, such as comprehensive health screenings that detect early signs of systemic diseases like hypertension and diabetes through retinal examination.</w:t>
      </w:r>
    </w:p>
    <w:p>
      <w:pPr>
        <w:pStyle w:val="BodyText"/>
      </w:pPr>
      <w:r>
        <w:t xml:space="preserve">The role of Health NZ (Te Whatu Ora) is also relevant here. While primary eye care is largely private, complex cases requiring surgical intervention or advanced management are referred to public hospitals like the Wellington Regional Eye Clinic. Optometrists act as crucial gatekeepers in this referral pathway, ensuring that only appropriate cases enter the public system, thereby optimizing resource allocation within New Zealand’s healthcare network.</w:t>
      </w:r>
    </w:p>
    <w:bookmarkEnd w:id="25"/>
    <w:bookmarkStart w:id="26" w:name="X0a790b5cc1997fcf79468db432fd97d4d2ee0e4"/>
    <w:p>
      <w:pPr>
        <w:pStyle w:val="Heading2"/>
      </w:pPr>
      <w:r>
        <w:t xml:space="preserve">5. Technological Integration and Future Trends</w:t>
      </w:r>
    </w:p>
    <w:p>
      <w:pPr>
        <w:pStyle w:val="FirstParagraph"/>
      </w:pPr>
      <w:r>
        <w:t xml:space="preserve">Techology is reshaping optometry in Wellington. The adoption of electronic health records (EHR) has improved continuity of care, allowing seamless information sharing between optometrists, general practitioners (GPs), and ophthalmologists in the region. Tele-optometry is also emerging as a tool for remote consultations, particularly beneficial for patients living on the Kāpiti Coast or in rural areas surrounding Wellington who face travel barriers.</w:t>
      </w:r>
    </w:p>
    <w:p>
      <w:pPr>
        <w:pStyle w:val="BodyText"/>
      </w:pPr>
      <w:r>
        <w:t xml:space="preserve">Moreover, artificial intelligence (AI) applications are beginning to assist in the analysis of retinal scans, enhancing diagnostic accuracy. Wellington-based practices that invest in these technologies position themselves as leaders in modern eye care. However, this technological leap requires continuous training and significant capital investment, posing a challenge for smaller solo-practitioners compared to larger chain clinics.</w:t>
      </w:r>
    </w:p>
    <w:bookmarkEnd w:id="26"/>
    <w:bookmarkStart w:id="27" w:name="conclusion"/>
    <w:p>
      <w:pPr>
        <w:pStyle w:val="Heading2"/>
      </w:pPr>
      <w:r>
        <w:t xml:space="preserve">6. Conclusion</w:t>
      </w:r>
    </w:p>
    <w:p>
      <w:pPr>
        <w:pStyle w:val="FirstParagraph"/>
      </w:pPr>
      <w:r>
        <w:t xml:space="preserve">The role of the optometrist in New Zealand Wellington is multifaceted, encompassing clinical excellence, regulatory compliance with WorkSafe and OCNZ standards, and cultural responsiveness within the Aotearoa context. As primary care providers, they are instrumental in preserving vision health for a diverse population facing unique urban challenges such as digital eye strain and myopia progression. While economic pressures exist within the private sector framework of New Zealand’s eye care system, the integration of public subsidies and advanced technology offers pathways for sustainable practice models.</w:t>
      </w:r>
    </w:p>
    <w:p>
      <w:pPr>
        <w:pStyle w:val="BodyText"/>
      </w:pPr>
      <w:r>
        <w:t xml:space="preserve">Future research should focus on longitudinal studies regarding the impact of myopia management programs in Wellington schools and the efficacy of tele-optometry services in reducing referral backlogs. Ultimately, optometrists remain indispensable to public health infrastructure, serving as the first line of defense against ocular disability in New Zealand’s capital city.</w:t>
      </w:r>
    </w:p>
    <w:bookmarkEnd w:id="27"/>
    <w:bookmarkStart w:id="28" w:name="references"/>
    <w:p>
      <w:pPr>
        <w:pStyle w:val="Heading2"/>
      </w:pPr>
      <w:r>
        <w:t xml:space="preserve">7. References</w:t>
      </w:r>
    </w:p>
    <w:p>
      <w:pPr>
        <w:numPr>
          <w:ilvl w:val="0"/>
          <w:numId w:val="1001"/>
        </w:numPr>
        <w:pStyle w:val="Compact"/>
      </w:pPr>
      <w:r>
        <w:t xml:space="preserve">New Zealand Ministry of Health. (2023).</w:t>
      </w:r>
      <w:r>
        <w:t xml:space="preserve"> </w:t>
      </w:r>
      <w:r>
        <w:rPr>
          <w:iCs/>
          <w:i/>
        </w:rPr>
        <w:t xml:space="preserve">National Vision Strategy and Eye Health Indicators.</w:t>
      </w:r>
    </w:p>
    <w:p>
      <w:pPr>
        <w:numPr>
          <w:ilvl w:val="0"/>
          <w:numId w:val="1001"/>
        </w:numPr>
        <w:pStyle w:val="Compact"/>
      </w:pPr>
      <w:r>
        <w:t xml:space="preserve">Optical Council of New Zealand. (n.d.).</w:t>
      </w:r>
      <w:r>
        <w:rPr>
          <w:iCs/>
          <w:i/>
        </w:rPr>
        <w:t xml:space="preserve">Licensing and Registration Guidelines for Optometrists.</w:t>
      </w:r>
    </w:p>
    <w:p>
      <w:pPr>
        <w:numPr>
          <w:ilvl w:val="0"/>
          <w:numId w:val="1001"/>
        </w:numPr>
        <w:pStyle w:val="Compact"/>
      </w:pPr>
      <w:r>
        <w:t xml:space="preserve">WorkSafe New Zealand. (2022).</w:t>
      </w:r>
      <w:r>
        <w:rPr>
          <w:iCs/>
          <w:i/>
        </w:rPr>
        <w:t xml:space="preserve">Risk Management in Healthcare Premises: Guidance Notes.</w:t>
      </w:r>
    </w:p>
    <w:p>
      <w:pPr>
        <w:numPr>
          <w:ilvl w:val="0"/>
          <w:numId w:val="1001"/>
        </w:numPr>
        <w:pStyle w:val="Compact"/>
      </w:pPr>
      <w:r>
        <w:t xml:space="preserve">New Zealand Register of Optometrists. (2024).</w:t>
      </w:r>
      <w:r>
        <w:rPr>
          <w:iCs/>
          <w:i/>
        </w:rPr>
        <w:t xml:space="preserve">Clinical Standards and Competency Framework.</w:t>
      </w:r>
    </w:p>
    <w:p>
      <w:pPr>
        <w:numPr>
          <w:ilvl w:val="0"/>
          <w:numId w:val="1001"/>
        </w:numPr>
        <w:pStyle w:val="Compact"/>
      </w:pPr>
      <w:r>
        <w:t xml:space="preserve">Tasman-Jones, J. &amp; Lee, P. (2021). "The Socio-economic Impact of Myopia in Urban New Zealand Populations."</w:t>
      </w:r>
      <w:r>
        <w:t xml:space="preserve"> </w:t>
      </w:r>
      <w:r>
        <w:rPr>
          <w:iCs/>
          <w:i/>
        </w:rPr>
        <w:t xml:space="preserve">New Zealand Journal of Optometry</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New Zealand Wellington: A Comprehensive Research Paper</dc:title>
  <dc:creator/>
  <dc:language>en</dc:language>
  <cp:keywords/>
  <dcterms:created xsi:type="dcterms:W3CDTF">2026-07-29T18:09:17Z</dcterms:created>
  <dcterms:modified xsi:type="dcterms:W3CDTF">2026-07-29T18:09:17Z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