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and</w:t>
      </w:r>
      <w:r>
        <w:t xml:space="preserve"> </w:t>
      </w:r>
      <w:r>
        <w:t xml:space="preserve">Industry</w:t>
      </w:r>
      <w:r>
        <w:t xml:space="preserve"> </w:t>
      </w:r>
      <w:r>
        <w:t xml:space="preserve">of</w:t>
      </w:r>
      <w:r>
        <w:t xml:space="preserve"> </w:t>
      </w:r>
      <w:r>
        <w:t xml:space="preserve">Photography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Aires:</w:t>
      </w:r>
      <w:r>
        <w:t xml:space="preserve"> </w:t>
      </w:r>
      <w:r>
        <w:t xml:space="preserve">A</w:t>
      </w:r>
      <w:r>
        <w:t xml:space="preserve"> </w:t>
      </w:r>
      <w:r>
        <w:t xml:space="preserve">Research</w:t>
      </w:r>
      <w:r>
        <w:t xml:space="preserve"> </w:t>
      </w:r>
      <w:r>
        <w:t xml:space="preserve">Perspective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Art and Industry of Photography in Argentina Buenos Aires: A Research Perspective</dc:title>
  <dc:creator/>
  <dc:language>en</dc:language>
  <cp:keywords/>
  <dcterms:created xsi:type="dcterms:W3CDTF">2026-09-28T06:23:51Z</dcterms:created>
  <dcterms:modified xsi:type="dcterms:W3CDTF">2026-09-28T06:23:51Z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