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1" w:name="X7e2565d15ed2aa283b03d9e3777151e108f3314"/>
    <w:p>
      <w:pPr>
        <w:pStyle w:val="Heading1"/>
      </w:pPr>
      <w:r>
        <w:t xml:space="preserve">The Evolution and Impact of the Politician in Pakistan Karachi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the Megacity: The Role, Challenges, and Future of the Politician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t xml:space="preserve">Affiliation:: Institute for Urban Governance Studies</w:t>
      </w:r>
    </w:p>
    <w:bookmarkStart w:id="20" w:name="Xcaa9f2cd6b4aba998674061f8d89692756ce286"/>
    <w:p>
      <w:pPr>
        <w:pStyle w:val="Heading1"/>
      </w:pPr>
      <w:r>
        <w:t xml:space="preserve">The Evolution and Impact of the Politician in Pakistan Karachi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Navigating the Megacity: The Role, Challenges, and Future of the Politician in Pakistan Karachi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Impact of the Politician in Pakistan Karachi</dc:title>
  <dc:creator/>
  <dc:language>en</dc:language>
  <cp:keywords/>
  <dcterms:created xsi:type="dcterms:W3CDTF">2026-07-29T21:10:22Z</dcterms:created>
  <dcterms:modified xsi:type="dcterms:W3CDTF">2026-07-29T21:10:22Z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