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Professoriate</w:t>
      </w:r>
      <w:r>
        <w:t xml:space="preserve"> </w:t>
      </w:r>
      <w:r>
        <w:t xml:space="preserve">in</w:t>
      </w:r>
      <w:r>
        <w:t xml:space="preserve"> </w:t>
      </w:r>
      <w:r>
        <w:t xml:space="preserve">Contemporary</w:t>
      </w:r>
      <w:r>
        <w:t xml:space="preserve"> </w:t>
      </w:r>
      <w:r>
        <w:t xml:space="preserve">Germany:</w:t>
      </w:r>
      <w:r>
        <w:t xml:space="preserve"> </w:t>
      </w:r>
      <w:r>
        <w:t xml:space="preserve">A</w:t>
      </w:r>
      <w:r>
        <w:t xml:space="preserve"> </w:t>
      </w:r>
      <w:r>
        <w:t xml:space="preserve">Focus</w:t>
      </w:r>
      <w:r>
        <w:t xml:space="preserve"> </w:t>
      </w:r>
      <w:r>
        <w:t xml:space="preserve">on</w:t>
      </w:r>
      <w:r>
        <w:t xml:space="preserve"> </w:t>
      </w:r>
      <w:r>
        <w:t xml:space="preserve">Berlin</w:t>
      </w:r>
    </w:p>
    <w:bookmarkStart w:id="27" w:name="X94951dc834091845afecf444731d86847a26d16"/>
    <w:p>
      <w:pPr>
        <w:pStyle w:val="Heading1"/>
      </w:pPr>
      <w:r>
        <w:t xml:space="preserve">The Evolution and Impact of the Professoriate in Contemporary Germany: A Focus on Berlin</w:t>
      </w:r>
    </w:p>
    <w:p>
      <w:pPr>
        <w:pStyle w:val="FirstParagraph"/>
      </w:pPr>
      <w:r>
        <w:rPr>
          <w:bCs/>
          <w:b/>
        </w:rPr>
        <w:t xml:space="preserve">Abstract:</w:t>
      </w:r>
      <w:r>
        <w:br/>
      </w:r>
      <w:r>
        <w:t xml:space="preserve">This research paper examines the historical trajectory, current structural challenges, and future prospects of the</w:t>
      </w:r>
      <w:r>
        <w:t xml:space="preserve"> </w:t>
      </w:r>
      <w:r>
        <w:rPr>
          <w:bCs/>
          <w:b/>
        </w:rPr>
        <w:t xml:space="preserve">Professor</w:t>
      </w:r>
      <w:r>
        <w:t xml:space="preserve"> </w:t>
      </w:r>
      <w:r>
        <w:t xml:space="preserve">title within the German higher education system. By centering the analysis on</w:t>
      </w:r>
      <w:r>
        <w:t xml:space="preserve"> </w:t>
      </w:r>
      <w:r>
        <w:rPr>
          <w:bCs/>
          <w:b/>
        </w:rPr>
        <w:t xml:space="preserve">Germany Berlin</w:t>
      </w:r>
      <w:r>
        <w:t xml:space="preserve">, a unique microcosm of academic diversity and internationalization, this study highlights how traditional academic hierarchies are being reshaped by modern pedagogical demands, funding constraints, and global competition. The paper argues that while the role of the</w:t>
      </w:r>
      <w:r>
        <w:t xml:space="preserve"> </w:t>
      </w:r>
      <w:r>
        <w:rPr>
          <w:bCs/>
          <w:b/>
        </w:rPr>
        <w:t xml:space="preserve">Professor</w:t>
      </w:r>
      <w:r>
        <w:t xml:space="preserve"> </w:t>
      </w:r>
      <w:r>
        <w:t xml:space="preserve">remains prestigious, its functional scope in</w:t>
      </w:r>
      <w:r>
        <w:t xml:space="preserve"> </w:t>
      </w:r>
      <w:r>
        <w:rPr>
          <w:bCs/>
          <w:b/>
        </w:rPr>
        <w:t xml:space="preserve">Germany Berlin</w:t>
      </w:r>
      <w:r>
        <w:t xml:space="preserve"> </w:t>
      </w:r>
      <w:r>
        <w:t xml:space="preserve">requires significant adaptation to maintain competitiveness in the European Research Area.</w:t>
      </w:r>
    </w:p>
    <w:bookmarkStart w:id="20" w:name="introduction"/>
    <w:p>
      <w:pPr>
        <w:pStyle w:val="Heading2"/>
      </w:pPr>
      <w:r>
        <w:t xml:space="preserve">1. Introduction</w:t>
      </w:r>
    </w:p>
    <w:p>
      <w:pPr>
        <w:pStyle w:val="FirstParagraph"/>
      </w:pPr>
      <w:r>
        <w:t xml:space="preserve">The concept of academia is deeply rooted in history, yet it is constantly evolving to meet societal needs. In Germany, the title of</w:t>
      </w:r>
      <w:r>
        <w:t xml:space="preserve"> </w:t>
      </w:r>
      <w:r>
        <w:rPr>
          <w:bCs/>
          <w:b/>
        </w:rPr>
        <w:t xml:space="preserve">Professor</w:t>
      </w:r>
      <w:r>
        <w:rPr>
          <w:vertAlign w:val="superscript"/>
        </w:rPr>
        <w:t xml:space="preserve">[1]</w:t>
      </w:r>
      <w:hyperlink w:anchor="fnb1">
        <w:r>
          <w:rPr>
            <w:rStyle w:val="Hyperlink"/>
            <w:vertAlign w:val="superscript"/>
          </w:rPr>
          <w:t xml:space="preserve">*</w:t>
        </w:r>
      </w:hyperlink>
      <w:r>
        <w:t xml:space="preserve"> </w:t>
      </w:r>
      <w:r>
        <w:t xml:space="preserve">carries a weight that extends beyond mere academic rank; it represents a specific tradition of scholarly independence and rigorous intellectual contribution. However, in the 21st century, this traditional model faces unprecedented pressure. Nowhere is this tension more visible than in</w:t>
      </w:r>
      <w:r>
        <w:t xml:space="preserve"> </w:t>
      </w:r>
      <w:r>
        <w:rPr>
          <w:bCs/>
          <w:b/>
        </w:rPr>
        <w:t xml:space="preserve">Germany Berlin</w:t>
      </w:r>
      <w:r>
        <w:t xml:space="preserve">, the capital city which serves as both a political hub and a rapidly growing center for science and technology. This paper explores how the institution of the</w:t>
      </w:r>
      <w:r>
        <w:t xml:space="preserve"> </w:t>
      </w:r>
      <w:r>
        <w:rPr>
          <w:bCs/>
          <w:b/>
        </w:rPr>
        <w:t xml:space="preserve">Professor</w:t>
      </w:r>
      <w:r>
        <w:t xml:space="preserve"> </w:t>
      </w:r>
      <w:r>
        <w:t xml:space="preserve">is being redefined within the dynamic context of</w:t>
      </w:r>
      <w:r>
        <w:t xml:space="preserve"> </w:t>
      </w:r>
      <w:r>
        <w:rPr>
          <w:bCs/>
          <w:b/>
        </w:rPr>
        <w:t xml:space="preserve">Germany Berlin</w:t>
      </w:r>
      <w:r>
        <w:t xml:space="preserve">, analyzing factors such as international recruitment, digitalization, and interdisciplinary collaboration.</w:t>
      </w:r>
    </w:p>
    <w:bookmarkEnd w:id="20"/>
    <w:bookmarkStart w:id="21" w:name="Xcaef2225e7db44cb11a9fd21b281278c170c4b3"/>
    <w:p>
      <w:pPr>
        <w:pStyle w:val="Heading2"/>
      </w:pPr>
      <w:r>
        <w:t xml:space="preserve">2. Historical Context: The Humboldtian Model and Its Legacy</w:t>
      </w:r>
    </w:p>
    <w:p>
      <w:pPr>
        <w:pStyle w:val="FirstParagraph"/>
      </w:pPr>
      <w:r>
        <w:t xml:space="preserve">To understand the current state of the</w:t>
      </w:r>
      <w:r>
        <w:t xml:space="preserve"> </w:t>
      </w:r>
      <w:r>
        <w:rPr>
          <w:bCs/>
          <w:b/>
        </w:rPr>
        <w:t xml:space="preserve">Professor</w:t>
      </w:r>
      <w:r>
        <w:rPr>
          <w:vertAlign w:val="superscript"/>
        </w:rPr>
        <w:t xml:space="preserve">[1]</w:t>
      </w:r>
      <w:hyperlink w:anchor="fnb1">
        <w:r>
          <w:rPr>
            <w:rStyle w:val="Hyperlink"/>
            <w:vertAlign w:val="superscript"/>
          </w:rPr>
          <w:t xml:space="preserve">*</w:t>
        </w:r>
      </w:hyperlink>
      <w:r>
        <w:t xml:space="preserve">, one must look back to the 19th century and the founding of Humboldt University in Berlin. Wilhelm von Humboldt proposed a model of education that united teaching and research, a principle that became the cornerstone of German higher education. Under this model, the</w:t>
      </w:r>
      <w:r>
        <w:t xml:space="preserve"> </w:t>
      </w:r>
      <w:r>
        <w:rPr>
          <w:bCs/>
          <w:b/>
        </w:rPr>
        <w:t xml:space="preserve">Professor</w:t>
      </w:r>
      <w:r>
        <w:rPr>
          <w:vertAlign w:val="superscript"/>
        </w:rPr>
        <w:t xml:space="preserve">[1]</w:t>
      </w:r>
      <w:hyperlink w:anchor="fnb1">
        <w:r>
          <w:rPr>
            <w:rStyle w:val="Hyperlink"/>
            <w:vertAlign w:val="superscript"/>
          </w:rPr>
          <w:t xml:space="preserve">*</w:t>
        </w:r>
      </w:hyperlink>
      <w:r>
        <w:t xml:space="preserve"> </w:t>
      </w:r>
      <w:r>
        <w:t xml:space="preserve">was expected to be both an active researcher and a teacher of scholars, rather than just a transmitter of knowledge.</w:t>
      </w:r>
      <w:r>
        <w:t xml:space="preserve"> </w:t>
      </w:r>
      <w:r>
        <w:t xml:space="preserve">In</w:t>
      </w:r>
      <w:r>
        <w:t xml:space="preserve"> </w:t>
      </w:r>
      <w:r>
        <w:rPr>
          <w:bCs/>
          <w:b/>
        </w:rPr>
        <w:t xml:space="preserve">Germany Berlin</w:t>
      </w:r>
      <w:r>
        <w:t xml:space="preserve">, this legacy is palpable. The city hosts some of the oldest and most respected institutions in the country. However, the original Humboldtian ideal assumed a level of financial stability and societal reverence for academia that no longer exists in its pure form today. The modern</w:t>
      </w:r>
      <w:r>
        <w:t xml:space="preserve"> </w:t>
      </w:r>
      <w:r>
        <w:rPr>
          <w:bCs/>
          <w:b/>
        </w:rPr>
        <w:t xml:space="preserve">Professor</w:t>
      </w:r>
      <w:r>
        <w:rPr>
          <w:vertAlign w:val="superscript"/>
        </w:rPr>
        <w:t xml:space="preserve">[1]</w:t>
      </w:r>
      <w:hyperlink w:anchor="fnb1">
        <w:r>
          <w:rPr>
            <w:rStyle w:val="Hyperlink"/>
            <w:vertAlign w:val="superscript"/>
          </w:rPr>
          <w:t xml:space="preserve">*</w:t>
        </w:r>
      </w:hyperlink>
      <w:r>
        <w:t xml:space="preserve"> </w:t>
      </w:r>
      <w:r>
        <w:t xml:space="preserve">in</w:t>
      </w:r>
      <w:r>
        <w:t xml:space="preserve"> </w:t>
      </w:r>
      <w:r>
        <w:rPr>
          <w:bCs/>
          <w:b/>
        </w:rPr>
        <w:t xml:space="preserve">Germany Berlin</w:t>
      </w:r>
      <w:r>
        <w:t xml:space="preserve"> </w:t>
      </w:r>
      <w:r>
        <w:t xml:space="preserve">must navigate a landscape where external funding often dictates research priorities, challenging the notion of purely curiosity-driven science.</w:t>
      </w:r>
    </w:p>
    <w:bookmarkEnd w:id="21"/>
    <w:bookmarkStart w:id="22" w:name="X44a98c1749f8163c81aebbf9e859e19208fa2d1"/>
    <w:p>
      <w:pPr>
        <w:pStyle w:val="Heading2"/>
      </w:pPr>
      <w:r>
        <w:t xml:space="preserve">3. The Changing Role of the Professor in Modern Academia</w:t>
      </w:r>
    </w:p>
    <w:p>
      <w:pPr>
        <w:pStyle w:val="FirstParagraph"/>
      </w:pPr>
      <w:r>
        <w:t xml:space="preserve">The definition of what it means to be a</w:t>
      </w:r>
      <w:r>
        <w:t xml:space="preserve"> </w:t>
      </w:r>
      <w:r>
        <w:rPr>
          <w:bCs/>
          <w:b/>
        </w:rPr>
        <w:t xml:space="preserve">Professor</w:t>
      </w:r>
      <w:r>
        <w:rPr>
          <w:vertAlign w:val="superscript"/>
        </w:rPr>
        <w:t xml:space="preserve">[1]</w:t>
      </w:r>
      <w:hyperlink w:anchor="fnb1">
        <w:r>
          <w:rPr>
            <w:rStyle w:val="Hyperlink"/>
            <w:vertAlign w:val="superscript"/>
          </w:rPr>
          <w:t xml:space="preserve">*</w:t>
        </w:r>
      </w:hyperlink>
      <w:r>
        <w:t xml:space="preserve"> </w:t>
      </w:r>
      <w:r>
        <w:t xml:space="preserve">has expanded significantly. While research output, particularly in high-impact journals, remains the primary metric for promotion and tenure, the scope of responsibilities now includes substantial administrative duties, third-party fundraising, and public engagement. In</w:t>
      </w:r>
      <w:r>
        <w:t xml:space="preserve"> </w:t>
      </w:r>
      <w:r>
        <w:rPr>
          <w:bCs/>
          <w:b/>
        </w:rPr>
        <w:t xml:space="preserve">Germany Berlin</w:t>
      </w:r>
      <w:r>
        <w:t xml:space="preserve">, where competition for resources among numerous universities is fierce (</w:t>
      </w:r>
      <w:r>
        <w:rPr>
          <w:iCs/>
          <w:i/>
        </w:rPr>
        <w:t xml:space="preserve">e.g.,</w:t>
      </w:r>
      <w:r>
        <w:t xml:space="preserve">, Freie Universität Berlin vs. Humboldt-Universität zu Berlin), these demands are intensified.</w:t>
      </w:r>
    </w:p>
    <w:p>
      <w:pPr>
        <w:pStyle w:val="BodyText"/>
      </w:pPr>
      <w:r>
        <w:t xml:space="preserve">Furthermore, the rise of digital humanities and data science has altered the skill set required of a</w:t>
      </w:r>
      <w:r>
        <w:t xml:space="preserve"> </w:t>
      </w:r>
      <w:r>
        <w:rPr>
          <w:bCs/>
          <w:b/>
        </w:rPr>
        <w:t xml:space="preserve">Professor</w:t>
      </w:r>
      <w:r>
        <w:rPr>
          <w:vertAlign w:val="superscript"/>
        </w:rPr>
        <w:t xml:space="preserve">[1]</w:t>
      </w:r>
      <w:hyperlink w:anchor="fnb1">
        <w:r>
          <w:rPr>
            <w:rStyle w:val="Hyperlink"/>
            <w:vertAlign w:val="superscript"/>
          </w:rPr>
          <w:t xml:space="preserve">*</w:t>
        </w:r>
      </w:hyperlink>
      <w:r>
        <w:t xml:space="preserve">. Traditional disciplines are increasingly intersecting with technological advancements. For instance, a history</w:t>
      </w:r>
      <w:r>
        <w:t xml:space="preserve"> </w:t>
      </w:r>
      <w:r>
        <w:rPr>
          <w:bCs/>
          <w:b/>
        </w:rPr>
        <w:t xml:space="preserve">Professor</w:t>
      </w:r>
      <w:r>
        <w:rPr>
          <w:vertAlign w:val="superscript"/>
        </w:rPr>
        <w:t xml:space="preserve">[1]</w:t>
      </w:r>
      <w:hyperlink w:anchor="fnb1">
        <w:r>
          <w:rPr>
            <w:rStyle w:val="Hyperlink"/>
            <w:vertAlign w:val="superscript"/>
          </w:rPr>
          <w:t xml:space="preserve">*</w:t>
        </w:r>
      </w:hyperlink>
      <w:r>
        <w:t xml:space="preserve"> </w:t>
      </w:r>
      <w:r>
        <w:t xml:space="preserve">in</w:t>
      </w:r>
      <w:r>
        <w:t xml:space="preserve"> </w:t>
      </w:r>
      <w:r>
        <w:rPr>
          <w:bCs/>
          <w:b/>
        </w:rPr>
        <w:t xml:space="preserve">Germany Berlin</w:t>
      </w:r>
      <w:r>
        <w:t xml:space="preserve"> </w:t>
      </w:r>
      <w:r>
        <w:t xml:space="preserve">might now be expected to collaborate with computer scientists to analyze large datasets of historical texts. This shift requires a more collaborative approach to scholarship, moving away from the solitary scholar model toward team-based research environments.</w:t>
      </w:r>
    </w:p>
    <w:bookmarkEnd w:id="22"/>
    <w:bookmarkStart w:id="23" w:name="X4becbd94bc4c419894aa6c547cb406d12dc6174"/>
    <w:p>
      <w:pPr>
        <w:pStyle w:val="Heading2"/>
      </w:pPr>
      <w:r>
        <w:t xml:space="preserve">4. Internationalization and Diversity in Germany Berlin</w:t>
      </w:r>
    </w:p>
    <w:p>
      <w:pPr>
        <w:pStyle w:val="FirstParagraph"/>
      </w:pPr>
      <w:r>
        <w:t xml:space="preserve">One of the most significant trends affecting the</w:t>
      </w:r>
      <w:r>
        <w:t xml:space="preserve"> </w:t>
      </w:r>
      <w:r>
        <w:rPr>
          <w:bCs/>
          <w:b/>
        </w:rPr>
        <w:t xml:space="preserve">Professor</w:t>
      </w:r>
      <w:r>
        <w:rPr>
          <w:vertAlign w:val="superscript"/>
        </w:rPr>
        <w:t xml:space="preserve">[1]</w:t>
      </w:r>
      <w:hyperlink w:anchor="fnb1">
        <w:r>
          <w:rPr>
            <w:rStyle w:val="Hyperlink"/>
            <w:vertAlign w:val="superscript"/>
          </w:rPr>
          <w:t xml:space="preserve">*</w:t>
        </w:r>
      </w:hyperlink>
      <w:r>
        <w:t xml:space="preserve"> </w:t>
      </w:r>
      <w:r>
        <w:t xml:space="preserve">role is internationalization.</w:t>
      </w:r>
      <w:r>
        <w:t xml:space="preserve"> </w:t>
      </w:r>
      <w:r>
        <w:rPr>
          <w:bCs/>
          <w:b/>
        </w:rPr>
        <w:t xml:space="preserve">Germany Berlin</w:t>
      </w:r>
      <w:r>
        <w:t xml:space="preserve">, as a global city, attracts talent from across Europe and the world. Universities in</w:t>
      </w:r>
      <w:r>
        <w:t xml:space="preserve"> </w:t>
      </w:r>
      <w:r>
        <w:rPr>
          <w:bCs/>
          <w:b/>
        </w:rPr>
        <w:t xml:space="preserve">Germany Berlin</w:t>
      </w:r>
      <w:r>
        <w:t xml:space="preserve"> </w:t>
      </w:r>
      <w:r>
        <w:t xml:space="preserve">have actively sought to recruit international faculty to enhance their global rankings and foster cross-cultural academic exchange. Consequently, many universities in the capital now offer tenure-track positions that are open to non-German candidates, marking a departure from the traditional *Habilitation* route which was deeply embedded in German academic culture.</w:t>
      </w:r>
    </w:p>
    <w:p>
      <w:pPr>
        <w:pStyle w:val="BodyText"/>
      </w:pPr>
      <w:r>
        <w:t xml:space="preserve">This influx of international scholars enriches the intellectual environment but also presents challenges. Language barriers, cultural differences in pedagogical styles, and visa complexities can hinder integration. Moreover, there is an ongoing debate about whether this internationalization dilutes the local cultural identity of German academia or strengthens it by creating a truly global knowledge network. For the domestic</w:t>
      </w:r>
      <w:r>
        <w:t xml:space="preserve"> </w:t>
      </w:r>
      <w:r>
        <w:rPr>
          <w:bCs/>
          <w:b/>
        </w:rPr>
        <w:t xml:space="preserve">Professor</w:t>
      </w:r>
      <w:r>
        <w:rPr>
          <w:vertAlign w:val="superscript"/>
        </w:rPr>
        <w:t xml:space="preserve">[1]</w:t>
      </w:r>
      <w:hyperlink w:anchor="fnb1">
        <w:r>
          <w:rPr>
            <w:rStyle w:val="Hyperlink"/>
            <w:vertAlign w:val="superscript"/>
          </w:rPr>
          <w:t xml:space="preserve">*</w:t>
        </w:r>
      </w:hyperlink>
      <w:r>
        <w:t xml:space="preserve">, this means adapting to more diverse student bodies and colleagues, requiring enhanced intercultural competence.</w:t>
      </w:r>
    </w:p>
    <w:bookmarkEnd w:id="23"/>
    <w:bookmarkStart w:id="24" w:name="X470c57f21877d47862c0f888efe9a55ed464587"/>
    <w:p>
      <w:pPr>
        <w:pStyle w:val="Heading2"/>
      </w:pPr>
      <w:r>
        <w:t xml:space="preserve">5. Structural Challenges: Funding and Bureaucracy</w:t>
      </w:r>
    </w:p>
    <w:p>
      <w:pPr>
        <w:pStyle w:val="FirstParagraph"/>
      </w:pPr>
      <w:r>
        <w:t xml:space="preserve">Despite the prestige associated with the title,</w:t>
      </w:r>
      <w:r>
        <w:t xml:space="preserve"> </w:t>
      </w:r>
      <w:r>
        <w:rPr>
          <w:bCs/>
          <w:b/>
        </w:rPr>
        <w:t xml:space="preserve">Professor</w:t>
      </w:r>
      <w:r>
        <w:rPr>
          <w:vertAlign w:val="superscript"/>
        </w:rPr>
        <w:t xml:space="preserve">[1]</w:t>
      </w:r>
      <w:hyperlink w:anchor="fnb1">
        <w:r>
          <w:rPr>
            <w:rStyle w:val="Hyperlink"/>
            <w:vertAlign w:val="superscript"/>
          </w:rPr>
          <w:t xml:space="preserve">*</w:t>
        </w:r>
      </w:hyperlink>
      <w:r>
        <w:t xml:space="preserve">s in</w:t>
      </w:r>
      <w:r>
        <w:t xml:space="preserve"> </w:t>
      </w:r>
      <w:r>
        <w:rPr>
          <w:bCs/>
          <w:b/>
        </w:rPr>
        <w:t xml:space="preserve">Germany Berlin</w:t>
      </w:r>
      <w:r>
        <w:t xml:space="preserve">, like their counterparts elsewhere in Germany, face structural challenges. The funding system is often described as competitive and bureaucratic. Securing grants from the Deutsche Forschungsgemeinschaft (DFG) or the European Research Council (ERC) is essential for maintaining a research group, yet it consumes a significant portion of a</w:t>
      </w:r>
      <w:r>
        <w:t xml:space="preserve"> </w:t>
      </w:r>
      <w:r>
        <w:rPr>
          <w:bCs/>
          <w:b/>
        </w:rPr>
        <w:t xml:space="preserve">Professor</w:t>
      </w:r>
      <w:r>
        <w:rPr>
          <w:vertAlign w:val="superscript"/>
        </w:rPr>
        <w:t xml:space="preserve">[1]</w:t>
      </w:r>
      <w:hyperlink w:anchor="fnb1">
        <w:r>
          <w:rPr>
            <w:rStyle w:val="Hyperlink"/>
            <w:vertAlign w:val="superscript"/>
          </w:rPr>
          <w:t xml:space="preserve">*</w:t>
        </w:r>
      </w:hyperlink>
      <w:r>
        <w:t xml:space="preserve">'s time.</w:t>
      </w:r>
    </w:p>
    <w:p>
      <w:pPr>
        <w:pStyle w:val="BodyText"/>
      </w:pPr>
      <w:r>
        <w:t xml:space="preserve">In</w:t>
      </w:r>
      <w:r>
        <w:t xml:space="preserve"> </w:t>
      </w:r>
      <w:r>
        <w:rPr>
          <w:bCs/>
          <w:b/>
        </w:rPr>
        <w:t xml:space="preserve">Germany Berlin</w:t>
      </w:r>
      <w:r>
        <w:t xml:space="preserve">, the cost of living is rising, which impacts the ability of young academics to establish themselves before reaching full professorship. Additionally, the bureaucracy surrounding administrative tasks—such as budget management and personnel law—can be cumbersome. Critics argue that this administrative burden detracts from core academic activities like teaching and deep research. Reforms aimed at streamlining these processes are ongoing, but progress is slow.</w:t>
      </w:r>
    </w:p>
    <w:bookmarkEnd w:id="24"/>
    <w:bookmarkStart w:id="25" w:name="Xe89cf416157901354c1054569966521bb931c14"/>
    <w:p>
      <w:pPr>
        <w:pStyle w:val="Heading2"/>
      </w:pPr>
      <w:r>
        <w:t xml:space="preserve">6. The Future of the Professoriate in Germany Berlin</w:t>
      </w:r>
    </w:p>
    <w:p>
      <w:pPr>
        <w:pStyle w:val="FirstParagraph"/>
      </w:pPr>
      <w:r>
        <w:t xml:space="preserve">Looking ahead, the role of the</w:t>
      </w:r>
      <w:r>
        <w:t xml:space="preserve"> </w:t>
      </w:r>
      <w:r>
        <w:rPr>
          <w:bCs/>
          <w:b/>
        </w:rPr>
        <w:t xml:space="preserve">Professor</w:t>
      </w:r>
      <w:r>
        <w:rPr>
          <w:vertAlign w:val="superscript"/>
        </w:rPr>
        <w:t xml:space="preserve">[1]</w:t>
      </w:r>
      <w:hyperlink w:anchor="fnb1">
        <w:r>
          <w:rPr>
            <w:rStyle w:val="Hyperlink"/>
            <w:vertAlign w:val="superscript"/>
          </w:rPr>
          <w:t xml:space="preserve">*</w:t>
        </w:r>
      </w:hyperlink>
      <w:r>
        <w:t xml:space="preserve"> </w:t>
      </w:r>
      <w:r>
        <w:t xml:space="preserve">in</w:t>
      </w:r>
      <w:r>
        <w:t xml:space="preserve"> </w:t>
      </w:r>
      <w:r>
        <w:rPr>
          <w:bCs/>
          <w:b/>
        </w:rPr>
        <w:t xml:space="preserve">Germany Berlin</w:t>
      </w:r>
      <w:r>
        <w:t xml:space="preserve"> </w:t>
      </w:r>
      <w:r>
        <w:t xml:space="preserve">will likely continue to evolve towards greater specialization and interdisciplinary collaboration. The challenges posed by climate change, public health crises, and digital transformation require solutions that transcend traditional departmental boundaries. Universities in</w:t>
      </w:r>
      <w:r>
        <w:t xml:space="preserve"> </w:t>
      </w:r>
      <w:r>
        <w:rPr>
          <w:bCs/>
          <w:b/>
        </w:rPr>
        <w:t xml:space="preserve">Germany Berlin</w:t>
      </w:r>
      <w:r>
        <w:t xml:space="preserve">, with their strong ties to industry and government institutions, are well-positioned to foster such collaborations.</w:t>
      </w:r>
    </w:p>
    <w:p>
      <w:pPr>
        <w:pStyle w:val="BodyText"/>
      </w:pPr>
      <w:r>
        <w:t xml:space="preserve">Moreover, the emphasis on open science will further transform academic practice.</w:t>
      </w:r>
      <w:r>
        <w:t xml:space="preserve"> </w:t>
      </w:r>
      <w:r>
        <w:rPr>
          <w:bCs/>
          <w:b/>
        </w:rPr>
        <w:t xml:space="preserve">Professor</w:t>
      </w:r>
      <w:r>
        <w:rPr>
          <w:vertAlign w:val="superscript"/>
        </w:rPr>
        <w:t xml:space="preserve">[1]</w:t>
      </w:r>
      <w:hyperlink w:anchor="fnb1">
        <w:r>
          <w:rPr>
            <w:rStyle w:val="Hyperlink"/>
            <w:vertAlign w:val="superscript"/>
          </w:rPr>
          <w:t xml:space="preserve">*</w:t>
        </w:r>
      </w:hyperlink>
      <w:r>
        <w:t xml:space="preserve">s will be expected to share data and methodologies more openly, increasing transparency and reproducibility in research. This shift aligns with broader societal demands for accountability in the use of public funds.</w:t>
      </w:r>
    </w:p>
    <w:bookmarkEnd w:id="25"/>
    <w:bookmarkStart w:id="26" w:name="conclusion"/>
    <w:p>
      <w:pPr>
        <w:pStyle w:val="Heading2"/>
      </w:pPr>
      <w:r>
        <w:t xml:space="preserve">7. Conclusion</w:t>
      </w:r>
    </w:p>
    <w:p>
      <w:pPr>
        <w:pStyle w:val="FirstParagraph"/>
      </w:pPr>
      <w:r>
        <w:t xml:space="preserve">In conclusion, the</w:t>
      </w:r>
      <w:r>
        <w:t xml:space="preserve"> </w:t>
      </w:r>
      <w:r>
        <w:rPr>
          <w:bCs/>
          <w:b/>
        </w:rPr>
        <w:t xml:space="preserve">Professor</w:t>
      </w:r>
      <w:r>
        <w:rPr>
          <w:vertAlign w:val="superscript"/>
        </w:rPr>
        <w:t xml:space="preserve">[1]</w:t>
      </w:r>
      <w:hyperlink w:anchor="fnb1">
        <w:r>
          <w:rPr>
            <w:rStyle w:val="Hyperlink"/>
            <w:vertAlign w:val="superscript"/>
          </w:rPr>
          <w:t xml:space="preserve">*</w:t>
        </w:r>
      </w:hyperlink>
      <w:r>
        <w:t xml:space="preserve"> </w:t>
      </w:r>
      <w:r>
        <w:t xml:space="preserve">remains a pivotal figure in the academic landscape of</w:t>
      </w:r>
      <w:r>
        <w:t xml:space="preserve"> </w:t>
      </w:r>
      <w:r>
        <w:rPr>
          <w:bCs/>
          <w:b/>
        </w:rPr>
        <w:t xml:space="preserve">Germany Berlin</w:t>
      </w:r>
      <w:r>
        <w:t xml:space="preserve">. While the core values of inquiry and education persist, their expression is changing. The modern</w:t>
      </w:r>
      <w:r>
        <w:t xml:space="preserve"> </w:t>
      </w:r>
      <w:r>
        <w:rPr>
          <w:bCs/>
          <w:b/>
        </w:rPr>
        <w:t xml:space="preserve">Professor</w:t>
      </w:r>
      <w:r>
        <w:rPr>
          <w:vertAlign w:val="superscript"/>
        </w:rPr>
        <w:t xml:space="preserve">[1]</w:t>
      </w:r>
      <w:hyperlink w:anchor="fnb1">
        <w:r>
          <w:rPr>
            <w:rStyle w:val="Hyperlink"/>
            <w:vertAlign w:val="superscript"/>
          </w:rPr>
          <w:t xml:space="preserve">*</w:t>
        </w:r>
      </w:hyperlink>
      <w:r>
        <w:t xml:space="preserve"> </w:t>
      </w:r>
      <w:r>
        <w:t xml:space="preserve">must balance traditional scholarly duties with new responsibilities in administration, international collaboration, and public engagement. For</w:t>
      </w:r>
      <w:r>
        <w:t xml:space="preserve"> </w:t>
      </w:r>
      <w:r>
        <w:rPr>
          <w:bCs/>
          <w:b/>
        </w:rPr>
        <w:t xml:space="preserve">Germany Berlin</w:t>
      </w:r>
      <w:r>
        <w:t xml:space="preserve">, supporting the next generation of</w:t>
      </w:r>
      <w:r>
        <w:t xml:space="preserve"> </w:t>
      </w:r>
      <w:r>
        <w:rPr>
          <w:bCs/>
          <w:b/>
        </w:rPr>
        <w:t xml:space="preserve">Professor</w:t>
      </w:r>
      <w:r>
        <w:rPr>
          <w:vertAlign w:val="superscript"/>
        </w:rPr>
        <w:t xml:space="preserve">[1]</w:t>
      </w:r>
      <w:hyperlink w:anchor="fnb1">
        <w:r>
          <w:rPr>
            <w:rStyle w:val="Hyperlink"/>
            <w:vertAlign w:val="superscript"/>
          </w:rPr>
          <w:t xml:space="preserve">*</w:t>
        </w:r>
      </w:hyperlink>
      <w:r>
        <w:t xml:space="preserve">s is crucial for maintaining its status as a leading intellectual center. By addressing structural inefficiencies and embracing internationalization, the academic community can ensure that the legacy of Humboldt endures in a modern form.</w:t>
      </w:r>
    </w:p>
    <w:p>
      <w:r>
        <w:pict>
          <v:rect style="width:0;height:1.5pt" o:hralign="center" o:hrstd="t" o:hr="t"/>
        </w:pict>
      </w:r>
    </w:p>
    <w:p>
      <w:pPr>
        <w:pStyle w:val="FirstParagraph"/>
      </w:pPr>
      <w:r>
        <w:rPr>
          <w:vertAlign w:val="superscript"/>
        </w:rPr>
        <w:t xml:space="preserve">*</w:t>
      </w:r>
      <w:r>
        <w:rPr>
          <w:bCs/>
          <w:b/>
        </w:rPr>
        <w:t xml:space="preserve">Reference:</w:t>
      </w:r>
    </w:p>
    <w:p>
      <w:pPr>
        <w:pStyle w:val="BodyText"/>
      </w:pPr>
      <w:r>
        <w:t xml:space="preserve">[1] The term</w:t>
      </w:r>
      <w:r>
        <w:t xml:space="preserve"> </w:t>
      </w:r>
      <w:r>
        <w:rPr>
          <w:bCs/>
          <w:b/>
        </w:rPr>
        <w:t xml:space="preserve">Professor</w:t>
      </w:r>
      <w:r>
        <w:t xml:space="preserve"> </w:t>
      </w:r>
      <w:r>
        <w:t xml:space="preserve">refers to the highest academic rank in the German university system, traditionally requiring a *Habilitation* or an equivalent qualification demonstrating the ability for independent scientific work. In recent years, tenure-track systems have been introduced to align with international standards.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Professoriate in Contemporary Germany: A Focus on Berlin</dc:title>
  <dc:creator/>
  <cp:keywords/>
  <dcterms:created xsi:type="dcterms:W3CDTF">2026-07-29T16:34:53Z</dcterms:created>
  <dcterms:modified xsi:type="dcterms:W3CDTF">2026-07-29T16:34:53Z</dcterms:modified>
</cp:coreProperties>
</file>

<file path=docProps/custom.xml><?xml version="1.0" encoding="utf-8"?>
<Properties xmlns="http://schemas.openxmlformats.org/officeDocument/2006/custom-properties" xmlns:vt="http://schemas.openxmlformats.org/officeDocument/2006/docPropsVTypes"/>
</file>