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Morocco:</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1" w:name="X8ae511b5d041aa157e0df97db78a9e445a9e82a"/>
    <w:p>
      <w:pPr>
        <w:pStyle w:val="Heading1"/>
      </w:pPr>
      <w:r>
        <w:t xml:space="preserve">The Evolution and Strategic Importance of the Professoriate in Morocco: A Case Study of Casablanca</w:t>
      </w:r>
    </w:p>
    <w:p>
      <w:pPr>
        <w:pStyle w:val="FirstParagraph"/>
      </w:pPr>
      <w:r>
        <w:rPr>
          <w:bCs/>
          <w:b/>
        </w:rPr>
        <w:t xml:space="preserve">Date:</w:t>
      </w:r>
      <w:r>
        <w:t xml:space="preserve"> </w:t>
      </w:r>
      <w:r>
        <w:t xml:space="preserve">October 26, 2023</w:t>
      </w:r>
      <w:r>
        <w:br/>
      </w:r>
      <w:r>
        <w:rPr>
          <w:bCs/>
          <w:b/>
        </w:rPr>
        <w:t xml:space="preserve">Subject:Affiliation:</w:t>
      </w:r>
      <w:r>
        <w:t xml:space="preserve"> </w:t>
      </w:r>
      <w:r>
        <w:t xml:space="preserve">Institute for North African Socio-Economic Studies</w:t>
      </w:r>
    </w:p>
    <w:bookmarkStart w:id="20" w:name="abstract"/>
    <w:p>
      <w:pPr>
        <w:pStyle w:val="Heading2"/>
      </w:pPr>
      <w:r>
        <w:t xml:space="preserve">Abstract</w:t>
      </w:r>
    </w:p>
    <w:p>
      <w:pPr>
        <w:pStyle w:val="FirstParagraph"/>
      </w:pPr>
      <w:r>
        <w:t xml:space="preserve">This research paper examines the critical role of the professor within the higher education landscape of Morocco, with a specific focus on Casablanca. As Morocco undergoes significant educational reforms aimed at modernization and economic integration, the status, function, and challenges faced by each professor have become central to national development strategies. This document analyzes how universities in Casablanca are adapting to global standards while maintaining local cultural relevance, thereby shaping the future workforce of North Africa.</w:t>
      </w:r>
    </w:p>
    <w:bookmarkEnd w:id="20"/>
    <w:bookmarkStart w:id="21" w:name="introduction"/>
    <w:p>
      <w:pPr>
        <w:pStyle w:val="Heading2"/>
      </w:pPr>
      <w:r>
        <w:t xml:space="preserve">1. Introduction</w:t>
      </w:r>
    </w:p>
    <w:p>
      <w:pPr>
        <w:pStyle w:val="FirstParagraph"/>
      </w:pPr>
      <w:r>
        <w:t xml:space="preserve">The academic landscape of Morocco has undergone profound transformations over the past two decades. At the heart of these changes is the figure of the professor, who serves not only as an educator but also as a researcher, cultural custodian, and agent of social change. Nowhere is this dynamic more evident than in Casablanca, Morocco’s economic capital and a bustling hub for higher learning. The city hosts some of the country’s most prestigious institutions, including Hassan II University of Casablanca and various private establishments. To understand the trajectory of Moroccan education, one must analyze how each professor navigates the complexities of traditional pedagogy versus modern scientific inquiry.</w:t>
      </w:r>
    </w:p>
    <w:bookmarkEnd w:id="21"/>
    <w:bookmarkStart w:id="22" w:name="X108f00dc045b8240dd652e04f1d7eb242c42613"/>
    <w:p>
      <w:pPr>
        <w:pStyle w:val="Heading2"/>
      </w:pPr>
      <w:r>
        <w:t xml:space="preserve">2. The Historical Context: From Colonial Legacy to National Identity</w:t>
      </w:r>
    </w:p>
    <w:p>
      <w:pPr>
        <w:pStyle w:val="FirstParagraph"/>
      </w:pPr>
      <w:r>
        <w:t xml:space="preserve">The role of the professor in Morocco has historically been influenced by colonial educational structures introduced by France. Post-independence, the state sought to Arabize and Moroccanize education to foster national identity. However, this transition created a gap between traditional religious education (the Madrasa system) and modern secular universities. In Casablanca, a cosmopolitan city with deep commercial ties to Europe and North America, the professor emerged as a bridge between these two worlds. Early professors were tasked with creating a new intellectual elite capable of managing the state’s bureaucracy and emerging industries.</w:t>
      </w:r>
    </w:p>
    <w:bookmarkEnd w:id="22"/>
    <w:bookmarkStart w:id="23" w:name="Xe5d8710643d87f9fedbb3bf784117594d6fd135"/>
    <w:p>
      <w:pPr>
        <w:pStyle w:val="Heading2"/>
      </w:pPr>
      <w:r>
        <w:t xml:space="preserve">3. The Modern Professor in Casablanca: Dual Roles</w:t>
      </w:r>
    </w:p>
    <w:p>
      <w:pPr>
        <w:pStyle w:val="FirstParagraph"/>
      </w:pPr>
      <w:r>
        <w:t xml:space="preserve">In contemporary Casablanca, each professor is expected to fulfill a dual role that extends beyond classroom instruction. Firstly, they are educators responsible for imparting technical and soft skills necessary for the global market. Secondly, they are active researchers contributing to Morocco’s scientific output. The University of Hassan II has increasingly emphasized research output as a metric for tenure and promotion. This shift has placed immense pressure on each professor to publish in international journals while maintaining high-quality teaching standards.</w:t>
      </w:r>
    </w:p>
    <w:p>
      <w:pPr>
        <w:pStyle w:val="BodyText"/>
      </w:pPr>
      <w:r>
        <w:t xml:space="preserve">The curriculum in Casablanca’s universities reflects this duality. Engineering schools and business faculties are integrating modules on digital literacy, artificial intelligence, and sustainable development. Each professor must continuously update their knowledge base to remain relevant. For instance, professors of economics in Casablanca are increasingly focusing on the impact of global trade agreements on North African markets, reflecting the city’s status as a major port and industrial center.</w:t>
      </w:r>
    </w:p>
    <w:bookmarkEnd w:id="23"/>
    <w:bookmarkStart w:id="24" w:name="challenges-faced-by-academics"/>
    <w:p>
      <w:pPr>
        <w:pStyle w:val="Heading2"/>
      </w:pPr>
      <w:r>
        <w:t xml:space="preserve">4. Challenges Faced by Academics</w:t>
      </w:r>
    </w:p>
    <w:p>
      <w:pPr>
        <w:pStyle w:val="FirstParagraph"/>
      </w:pPr>
      <w:r>
        <w:t xml:space="preserve">Despite progress, each professor in Morocco faces significant structural challenges. Budget constraints often limit access to state-of-the-art laboratories and digital resources. Furthermore, large class sizes can hinder personalized instruction, making it difficult for professors to engage students effectively in critical thinking exercises.</w:t>
      </w:r>
    </w:p>
    <w:p>
      <w:pPr>
        <w:pStyle w:val="BodyText"/>
      </w:pPr>
      <w:r>
        <w:t xml:space="preserve">Socially, professors are also grappling with the expectations of students and parents who view a degree primarily as a ticket to employment. This utilitarian approach sometimes clashes with the academic goal of fostering holistic intellectual development. In Casablanca, where competition for jobs is fierce, each professor is under pressure to align their courses with labor market demands without compromising academic integrity.</w:t>
      </w:r>
    </w:p>
    <w:bookmarkEnd w:id="24"/>
    <w:bookmarkStart w:id="25" w:name="X82ce85364fcfe5447fa03b821a7aa0b89bb3998"/>
    <w:p>
      <w:pPr>
        <w:pStyle w:val="Heading2"/>
      </w:pPr>
      <w:r>
        <w:t xml:space="preserve">5. Technological Integration and Digital Pedagogy</w:t>
      </w:r>
    </w:p>
    <w:p>
      <w:pPr>
        <w:pStyle w:val="FirstParagraph"/>
      </w:pPr>
      <w:r>
        <w:t xml:space="preserve">The acceleration of digital transformation in Morocco has further reshaped the role of the professor. The pandemic era forced rapid adoption of remote learning tools, a trend that continues to evolve in Casablanca’s universities. Professors are now required to be proficient in Learning Management Systems (LMS), video conferencing platforms, and digital assessment tools. This shift has democratized access to education but also highlighted the digital divide among students.</w:t>
      </w:r>
    </w:p>
    <w:p>
      <w:pPr>
        <w:pStyle w:val="BodyText"/>
      </w:pPr>
      <w:r>
        <w:t xml:space="preserve">Institutions in Casablanca are investing heavily in training programs to help each professor adapt to these technological demands. Workshops on blended learning methodologies are becoming commonplace, ensuring that educators can leverage technology to enhance, rather than replace, human interaction in the classroom.</w:t>
      </w:r>
    </w:p>
    <w:bookmarkEnd w:id="25"/>
    <w:bookmarkStart w:id="26" w:name="international-collaboration-and-mobility"/>
    <w:p>
      <w:pPr>
        <w:pStyle w:val="Heading2"/>
      </w:pPr>
      <w:r>
        <w:t xml:space="preserve">6. International Collaboration and Mobility</w:t>
      </w:r>
    </w:p>
    <w:p>
      <w:pPr>
        <w:pStyle w:val="FirstParagraph"/>
      </w:pPr>
      <w:r>
        <w:t xml:space="preserve">Casablanca serves as a gateway for international academic exchange. Each professor is encouraged to participate in international conferences and collaborate with researchers from Europe, North America, and Asia. These collaborations bring fresh perspectives into Moroccan classrooms and expose students to global best practices.</w:t>
      </w:r>
    </w:p>
    <w:p>
      <w:pPr>
        <w:pStyle w:val="BodyText"/>
      </w:pPr>
      <w:r>
        <w:t xml:space="preserve">The "Pole of Research and Innovation" initiatives in Casablanca aim to foster partnerships between universities and industries. Professors are increasingly involved in applied research projects that address local challenges such as water scarcity, renewable energy, and urban planning. This application-oriented approach enhances the visibility of Moroccan academia on the global stage.</w:t>
      </w:r>
    </w:p>
    <w:bookmarkEnd w:id="26"/>
    <w:bookmarkStart w:id="27" w:name="socio-cultural-impact-of-the-professor"/>
    <w:p>
      <w:pPr>
        <w:pStyle w:val="Heading2"/>
      </w:pPr>
      <w:r>
        <w:t xml:space="preserve">7. Socio-Cultural Impact of the Professor</w:t>
      </w:r>
    </w:p>
    <w:p>
      <w:pPr>
        <w:pStyle w:val="FirstParagraph"/>
      </w:pPr>
      <w:r>
        <w:t xml:space="preserve">Beyond academics, each professor plays a vital role in shaping civic consciousness in Casablanca. Universities are seen as spaces for debate and democratic engagement. Professors often guide student activism and encourage critical discourse on social issues such as gender equality, labor rights, and environmental justice.</w:t>
      </w:r>
    </w:p>
    <w:p>
      <w:pPr>
        <w:pStyle w:val="BodyText"/>
      </w:pPr>
      <w:r>
        <w:t xml:space="preserve">In a society undergoing rapid urbanization, the professor acts as a mediator between tradition and modernity. They help students navigate the complexities of Moroccan identity in a globalized world. This cultural stewardship is particularly important in Casablanca, where diverse populations converge.</w:t>
      </w:r>
    </w:p>
    <w:bookmarkEnd w:id="27"/>
    <w:bookmarkStart w:id="28" w:name="policy-recommendations"/>
    <w:p>
      <w:pPr>
        <w:pStyle w:val="Heading2"/>
      </w:pPr>
      <w:r>
        <w:t xml:space="preserve">8. Policy Recommendations</w:t>
      </w:r>
    </w:p>
    <w:p>
      <w:pPr>
        <w:pStyle w:val="FirstParagraph"/>
      </w:pPr>
      <w:r>
        <w:t xml:space="preserve">To further strengthen the position of each professor, several policy recommendations are proposed:</w:t>
      </w:r>
    </w:p>
    <w:p>
      <w:pPr>
        <w:numPr>
          <w:ilvl w:val="0"/>
          <w:numId w:val="1001"/>
        </w:numPr>
        <w:pStyle w:val="Compact"/>
      </w:pPr>
      <w:r>
        <w:rPr>
          <w:bCs/>
          <w:b/>
        </w:rPr>
        <w:t xml:space="preserve">Funding Increase:</w:t>
      </w:r>
      <w:r>
        <w:t xml:space="preserve"> </w:t>
      </w:r>
      <w:r>
        <w:t xml:space="preserve">Government investment in research infrastructure to support academic output.</w:t>
      </w:r>
    </w:p>
    <w:p>
      <w:pPr>
        <w:numPr>
          <w:ilvl w:val="0"/>
          <w:numId w:val="1001"/>
        </w:numPr>
        <w:pStyle w:val="Compact"/>
      </w:pPr>
      <w:r>
        <w:rPr>
          <w:bCs/>
          <w:b/>
        </w:rPr>
        <w:t xml:space="preserve">Pedagogical Training:</w:t>
      </w:r>
    </w:p>
    <w:p>
      <w:pPr>
        <w:numPr>
          <w:ilvl w:val="0"/>
          <w:numId w:val="1001"/>
        </w:numPr>
        <w:pStyle w:val="Compact"/>
      </w:pPr>
      <w:r>
        <w:br/>
      </w:r>
      <w:r>
        <w:t xml:space="preserve">**Workload Balancing:**</w:t>
      </w:r>
      <w:r>
        <w:br/>
      </w:r>
      <w:r>
        <w:t xml:space="preserve">A clear distinction between teaching and research duties to prevent burnout, ensuring each professor can excel in both areas.</w:t>
      </w:r>
    </w:p>
    <w:p>
      <w:pPr>
        <w:numPr>
          <w:ilvl w:val="0"/>
          <w:numId w:val="1001"/>
        </w:numPr>
        <w:pStyle w:val="Compact"/>
      </w:pPr>
      <w:r>
        <w:rPr>
          <w:bCs/>
          <w:b/>
        </w:rPr>
        <w:t xml:space="preserve">Digital Equity:</w:t>
      </w:r>
      <w:r>
        <w:t xml:space="preserve"> </w:t>
      </w:r>
      <w:r>
        <w:t xml:space="preserve">Initiatives to ensure all students have access to digital tools, reducing the disparity faced by professors when teaching mixed-ability classes.</w:t>
      </w:r>
    </w:p>
    <w:bookmarkEnd w:id="28"/>
    <w:bookmarkStart w:id="29" w:name="conclusion"/>
    <w:p>
      <w:pPr>
        <w:pStyle w:val="Heading2"/>
      </w:pPr>
      <w:r>
        <w:t xml:space="preserve">9. Conclusion</w:t>
      </w:r>
    </w:p>
    <w:p>
      <w:pPr>
        <w:pStyle w:val="FirstParagraph"/>
      </w:pPr>
      <w:r>
        <w:t xml:space="preserve">The evolution of higher education in Morocco, particularly in Casablanca, is intrinsically linked to the role and experience of each professor. As the nation strives for economic competitiveness and social cohesion, the academic community serves as a cornerstone of progress. The modern Moroccan professor is no longer just a transmitter of knowledge but a innovator, researcher, and civic leader.</w:t>
      </w:r>
    </w:p>
    <w:p>
      <w:pPr>
        <w:pStyle w:val="BodyText"/>
      </w:pPr>
      <w:r>
        <w:t xml:space="preserve">Future success depends on sustained investment in human capital. By empowering each professor with resources, training, and autonomy, Morocco can ensure that its universities remain vibrant centers of excellence. Casablanca’s trajectory offers valuable insights for other regions seeking to balance traditional educational values with the demands of the 21st century.</w:t>
      </w:r>
    </w:p>
    <w:bookmarkEnd w:id="29"/>
    <w:bookmarkStart w:id="30" w:name="references"/>
    <w:p>
      <w:pPr>
        <w:pStyle w:val="Heading2"/>
      </w:pPr>
      <w:r>
        <w:t xml:space="preserve">References</w:t>
      </w:r>
    </w:p>
    <w:p>
      <w:pPr>
        <w:pStyle w:val="FirstParagraph"/>
      </w:pPr>
      <w:r>
        <w:rPr>
          <w:iCs/>
          <w:i/>
        </w:rPr>
        <w:t xml:space="preserve">Note: The following references are representative of the types of sources used in this analysis.</w:t>
      </w:r>
    </w:p>
    <w:p>
      <w:pPr>
        <w:numPr>
          <w:ilvl w:val="0"/>
          <w:numId w:val="1002"/>
        </w:numPr>
        <w:pStyle w:val="Compact"/>
      </w:pPr>
      <w:r>
        <w:t xml:space="preserve">Moroccan Ministry of Higher Education. (2021). *Strategic Vision 2030 for Higher Education and Research*. Rabat.</w:t>
      </w:r>
    </w:p>
    <w:p>
      <w:pPr>
        <w:numPr>
          <w:ilvl w:val="0"/>
          <w:numId w:val="1002"/>
        </w:numPr>
        <w:pStyle w:val="Compact"/>
      </w:pPr>
      <w:r>
        <w:t xml:space="preserve">Hassan II University Reports. (2022). *Annual Review of Academic Performance and Innovation*. Casablanca.</w:t>
      </w:r>
    </w:p>
    <w:p>
      <w:pPr>
        <w:numPr>
          <w:ilvl w:val="0"/>
          <w:numId w:val="1002"/>
        </w:numPr>
        <w:pStyle w:val="Compact"/>
      </w:pPr>
      <w:r>
        <w:t xml:space="preserve">World Bank. (2023). *Human Capital Development in North Africa: Case Studies from Morocco*.</w:t>
      </w:r>
    </w:p>
    <w:p>
      <w:pPr>
        <w:numPr>
          <w:ilvl w:val="0"/>
          <w:numId w:val="1002"/>
        </w:numPr>
        <w:pStyle w:val="Compact"/>
      </w:pPr>
      <w:r>
        <w:t xml:space="preserve">Douzi, M., &amp; El Aissaoui, K. (2020). "The Role of Universities in Urban Development: The Casablanca Model." *Journal of African Urban Studies*,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Professoriate in Morocco: A Case Study of Casablanca</dc:title>
  <dc:creator/>
  <cp:keywords/>
  <dcterms:created xsi:type="dcterms:W3CDTF">2026-07-29T16:09:28Z</dcterms:created>
  <dcterms:modified xsi:type="dcterms:W3CDTF">2026-07-29T16:09:28Z</dcterms:modified>
</cp:coreProperties>
</file>

<file path=docProps/custom.xml><?xml version="1.0" encoding="utf-8"?>
<Properties xmlns="http://schemas.openxmlformats.org/officeDocument/2006/custom-properties" xmlns:vt="http://schemas.openxmlformats.org/officeDocument/2006/docPropsVTypes"/>
</file>