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Professors</w:t>
      </w:r>
      <w:r>
        <w:t xml:space="preserve"> </w:t>
      </w:r>
      <w:r>
        <w:t xml:space="preserve">in</w:t>
      </w:r>
      <w:r>
        <w:t xml:space="preserve"> </w:t>
      </w:r>
      <w:r>
        <w:t xml:space="preserve">Turkey:</w:t>
      </w:r>
      <w:r>
        <w:t xml:space="preserve"> </w:t>
      </w:r>
      <w:r>
        <w:t xml:space="preserve">Ankara</w:t>
      </w:r>
      <w:r>
        <w:t xml:space="preserve"> </w:t>
      </w:r>
      <w:r>
        <w:t xml:space="preserve">as</w:t>
      </w:r>
      <w:r>
        <w:t xml:space="preserve"> </w:t>
      </w:r>
      <w:r>
        <w:t xml:space="preserve">a</w:t>
      </w:r>
      <w:r>
        <w:t xml:space="preserve"> </w:t>
      </w:r>
      <w:r>
        <w:t xml:space="preserve">Case</w:t>
      </w:r>
      <w:r>
        <w:t xml:space="preserve"> </w:t>
      </w:r>
      <w:r>
        <w:t xml:space="preserve">Study</w:t>
      </w:r>
    </w:p>
    <w:p>
      <w:pPr>
        <w:pStyle w:val="FirstParagraph"/>
      </w:pPr>
      <w:r>
        <w:t xml:space="preserve">```html</w:t>
      </w:r>
    </w:p>
    <w:bookmarkStart w:id="28" w:name="X3aa9cebad6ea6a729bf5a1c554905358629a86e"/>
    <w:p>
      <w:pPr>
        <w:pStyle w:val="Heading1"/>
      </w:pPr>
      <w:r>
        <w:t xml:space="preserve">The Evolving Role and Challenges of Professors in Turkey:</w:t>
      </w:r>
      <w:r>
        <w:br/>
      </w:r>
      <w:r>
        <w:t xml:space="preserve">Ankara as a Case Study</w:t>
      </w:r>
    </w:p>
    <w:p>
      <w:pPr>
        <w:pStyle w:val="FirstParagraph"/>
      </w:pPr>
      <w:r>
        <w:rPr>
          <w:bCs/>
          <w:b/>
        </w:rPr>
        <w:t xml:space="preserve">Abstract:</w:t>
      </w:r>
      <w:r>
        <w:br/>
      </w:r>
      <w:r>
        <w:t xml:space="preserve">This research paper explores the multifaceted role, responsibilities, and contemporary challenges faced by professors within the higher education system of Turkey. Focusing specifically on Ankara, the capital city and a central hub for academic institutions in Turkey, this study analyzes how geopolitical shifts, administrative reforms (notably the transfer from YÖK to ministries), and societal expectations influence academic freedom and professional identity. The paper argues that while Turkish professors remain pivotal to national development through research and education, they face increasing pressures related to autonomy, resource allocation, and political alignment. Data is drawn from recent academic surveys, policy documents regarding higher education reform in Turkey Ankara contextually situated within broader European standards (Bologna Process).</w:t>
      </w:r>
    </w:p>
    <w:bookmarkStart w:id="20" w:name="introduction"/>
    <w:p>
      <w:pPr>
        <w:pStyle w:val="Heading2"/>
      </w:pPr>
      <w:r>
        <w:t xml:space="preserve">1. Introduction</w:t>
      </w:r>
    </w:p>
    <w:p>
      <w:pPr>
        <w:pStyle w:val="FirstParagraph"/>
      </w:pPr>
      <w:r>
        <w:t xml:space="preserve">The university system in Turkey has undergone significant transformation over the past two decades. Central to this ecosystem is the professor, an academic rank that carries substantial weight in both educational delivery and scientific inquiry. In Turkey, particularly within Ankara—a city that serves not only as the political capital but also as a dense concentration of public universities such as Middle East Technical University (METU/ODTÜ), Bilkent University, Koç University (via its Ankara campus initiatives or alumni networks), and Hacettepe University—the role of the professor is increasingly scrutinized. This paper examines how professors in Turkey Ankara are navigating the complex intersection between academic rigor, institutional governance changes, and societal expectations.</w:t>
      </w:r>
    </w:p>
    <w:p>
      <w:pPr>
        <w:pStyle w:val="BodyText"/>
      </w:pPr>
      <w:r>
        <w:t xml:space="preserve">Ankara stands out as a critical node for higher education in Turkey due to its concentration of state-funded institutions and research centers. The presence of numerous embassies, think tanks, and international organizations further amplifies the visibility of academic work conducted in Ankara’s universities. Consequently, professors here are often at the forefront of debates concerning secularism vs. religiosity in public life, scientific independence versus political influence, and global collaboration versus local relevance.</w:t>
      </w:r>
    </w:p>
    <w:bookmarkEnd w:id="20"/>
    <w:bookmarkStart w:id="21" w:name="Xb82032189e4b839b075f238c0d62b71e79a5a5d"/>
    <w:p>
      <w:pPr>
        <w:pStyle w:val="Heading2"/>
      </w:pPr>
      <w:r>
        <w:t xml:space="preserve">2. The Institutional Context: Reforms and Governance</w:t>
      </w:r>
    </w:p>
    <w:p>
      <w:pPr>
        <w:pStyle w:val="FirstParagraph"/>
      </w:pPr>
      <w:r>
        <w:t xml:space="preserve">A pivotal moment for professors in Turkey occurred with the passage of Law No. 7453 in 2018, which abolished the Council of Higher Education (Yükseköğretim Kurulu - YÖK) and transferred its authority to relevant ministries. This structural change had profound implications for professors across Turkey Ankara universities.</w:t>
      </w:r>
    </w:p>
    <w:p>
      <w:pPr>
        <w:pStyle w:val="BodyText"/>
      </w:pPr>
      <w:r>
        <w:rPr>
          <w:bCs/>
          <w:b/>
        </w:rPr>
        <w:t xml:space="preserve">a) Loss of Institutional Autonomy:</w:t>
      </w:r>
      <w:r>
        <w:br/>
      </w:r>
      <w:r>
        <w:t xml:space="preserve">Prior to 2018, YÖK provided a layer of institutional autonomy that allowed universities some buffer against direct political interference. With the dissolution of YÖK, university governance became more centralized under ministerial control. Professors in Ankara reported increased anxiety regarding appointment processes, tenure evaluations, and disciplinary actions.</w:t>
      </w:r>
    </w:p>
    <w:p>
      <w:pPr>
        <w:pStyle w:val="BodyText"/>
      </w:pPr>
      <w:r>
        <w:rPr>
          <w:bCs/>
          <w:b/>
        </w:rPr>
        <w:t xml:space="preserve">b) Impact on Academic Freedom:</w:t>
      </w:r>
      <w:r>
        <w:br/>
      </w:r>
      <w:r>
        <w:t xml:space="preserve">Surveys conducted by academic unions such as the Turkish Academics for Solidarity with Professions (AŞKÖP) indicate a decline in perceived academic freedom. Professors involved in politically sensitive research areas—particularly those focusing on Kurdish issues, human rights, or foreign policy toward Turkey Ankara’s diplomatic partners—face heightened risks of investigation or non-renewal of contracts.</w:t>
      </w:r>
    </w:p>
    <w:bookmarkEnd w:id="21"/>
    <w:bookmarkStart w:id="22" w:name="Xbbc19c2ca2d2ad94dbe430aa04bea400a4407ee"/>
    <w:p>
      <w:pPr>
        <w:pStyle w:val="Heading2"/>
      </w:pPr>
      <w:r>
        <w:t xml:space="preserve">3. Pedagogical and Research Responsibilities</w:t>
      </w:r>
    </w:p>
    <w:p>
      <w:pPr>
        <w:pStyle w:val="FirstParagraph"/>
      </w:pPr>
      <w:r>
        <w:rPr>
          <w:bCs/>
          <w:b/>
        </w:rPr>
        <w:t xml:space="preserve">a) Teaching Loads and Student Expectations:</w:t>
      </w:r>
      <w:r>
        <w:br/>
      </w:r>
      <w:r>
        <w:t xml:space="preserve">Professors in Turkey Ankara universities are tasked with educating a rapidly growing student population. However, large class sizes and limited resources often hinder personalized instruction. Students increasingly expect curricula that align with labor market demands, putting pressure on professors to update their courses frequently. In fields like engineering at METU or medicine at Hacettepe University, this demand is particularly acute due to international accreditation requirements.</w:t>
      </w:r>
    </w:p>
    <w:p>
      <w:pPr>
        <w:pStyle w:val="BodyText"/>
      </w:pPr>
      <w:r>
        <w:rPr>
          <w:bCs/>
          <w:b/>
        </w:rPr>
        <w:t xml:space="preserve">b) Research Productivity vs. Administrative Burden:</w:t>
      </w:r>
      <w:r>
        <w:br/>
      </w:r>
      <w:r>
        <w:t xml:space="preserve">The expectation for Turkish professors to publish in high-impact international journals remains strong. However, bureaucratic hurdles related to grant applications (especially from TÜBİTAK – The Scientific and Technological Research Council of Turkey) and the need to justify research outputs in terms of national development goals create significant administrative burdens. Many professors report spending more time on compliance documentation than actual research.</w:t>
      </w:r>
    </w:p>
    <w:bookmarkEnd w:id="22"/>
    <w:bookmarkStart w:id="23" w:name="societal-role-and-public-engagement"/>
    <w:p>
      <w:pPr>
        <w:pStyle w:val="Heading2"/>
      </w:pPr>
      <w:r>
        <w:t xml:space="preserve">4. Societal Role and Public Engagement</w:t>
      </w:r>
    </w:p>
    <w:p>
      <w:pPr>
        <w:pStyle w:val="FirstParagraph"/>
      </w:pPr>
      <w:r>
        <w:t xml:space="preserve">In Turkey, professors are often viewed as moral authorities and public intellectuals. This dual role is especially pronounced in Ankara, where academic experts frequently engage with policymakers through advisory roles or public commentary. However, this visibility comes at a cost.</w:t>
      </w:r>
    </w:p>
    <w:p>
      <w:pPr>
        <w:pStyle w:val="BodyText"/>
      </w:pPr>
      <w:r>
        <w:rPr>
          <w:bCs/>
          <w:b/>
        </w:rPr>
        <w:t xml:space="preserve">a) Media and Public Discourse:</w:t>
      </w:r>
      <w:r>
        <w:br/>
      </w:r>
      <w:r>
        <w:t xml:space="preserve">Professors who participate in media debates risk polarizing public opinion. Those who critique government policies may face social media campaigns or professional repercussions, while those aligned with state narratives may be criticized by colleagues for compromising academic neutrality. This dynamic creates a chilling effect on open discourse.</w:t>
      </w:r>
    </w:p>
    <w:p>
      <w:pPr>
        <w:pStyle w:val="BodyText"/>
      </w:pPr>
      <w:r>
        <w:rPr>
          <w:bCs/>
          <w:b/>
        </w:rPr>
        <w:t xml:space="preserve">b) Community Outreach:</w:t>
      </w:r>
      <w:r>
        <w:br/>
      </w:r>
      <w:r>
        <w:t xml:space="preserve">Despite these challenges, many professors in Ankara continue to engage in community outreach programs. Initiatives such as science festivals at ODTÜ or health clinics operated by Hacettepe University demonstrate the commitment of Turkish academics to societal welfare. These efforts reinforce the professor’s role beyond the classroom and laboratory.</w:t>
      </w:r>
    </w:p>
    <w:bookmarkEnd w:id="23"/>
    <w:bookmarkStart w:id="24" w:name="X7a4fea0d5a232533f9dee20d83e5257f294f7e4"/>
    <w:p>
      <w:pPr>
        <w:pStyle w:val="Heading2"/>
      </w:pPr>
      <w:r>
        <w:t xml:space="preserve">5. Comparative Perspective: Turkey Ankara vs. Europe</w:t>
      </w:r>
    </w:p>
    <w:p>
      <w:pPr>
        <w:pStyle w:val="FirstParagraph"/>
      </w:pPr>
      <w:r>
        <w:t xml:space="preserve">Ankara’s universities are part of the Bologna Process, aiming to align with European higher education standards. This includes ECTS credit systems, quality assurance mechanisms, and Erasmus+ exchanges. Professors benefit from these frameworks through international mobility opportunities and collaborative research projects.</w:t>
      </w:r>
    </w:p>
    <w:p>
      <w:pPr>
        <w:pStyle w:val="BodyText"/>
      </w:pPr>
      <w:r>
        <w:rPr>
          <w:bCs/>
          <w:b/>
        </w:rPr>
        <w:t xml:space="preserve">a) Brain Drain Concerns:</w:t>
      </w:r>
      <w:r>
        <w:br/>
      </w:r>
      <w:r>
        <w:t xml:space="preserve">Despite integration with European norms, many Turkish professors consider relocating to Europe due to political pressures. Ankara’s academic community has seen a noticeable exodus of early-career researchers and mid-level faculty members. This brain drain threatens the long-term sustainability of research output in Turkey.</w:t>
      </w:r>
    </w:p>
    <w:p>
      <w:pPr>
        <w:pStyle w:val="BodyText"/>
      </w:pPr>
      <w:r>
        <w:rPr>
          <w:bCs/>
          <w:b/>
        </w:rPr>
        <w:t xml:space="preserve">b) Collaboration Opportunities:</w:t>
      </w:r>
      <w:r>
        <w:br/>
      </w:r>
      <w:r>
        <w:t xml:space="preserve">Nevertheless, partnerships with European universities remain robust. Joint degrees and co-authored publications continue to thrive, offering a lifeline for professors seeking to maintain international visibility and professional growth.</w:t>
      </w:r>
    </w:p>
    <w:bookmarkEnd w:id="24"/>
    <w:bookmarkStart w:id="25" w:name="challenges-ahead"/>
    <w:p>
      <w:pPr>
        <w:pStyle w:val="Heading2"/>
      </w:pPr>
      <w:r>
        <w:t xml:space="preserve">6. Challenges Ahead</w:t>
      </w:r>
    </w:p>
    <w:p>
      <w:pPr>
        <w:pStyle w:val="FirstParagraph"/>
      </w:pPr>
      <w:r>
        <w:t xml:space="preserve">The future of professorship in Turkey Ankara depends on addressing several key challenges:</w:t>
      </w:r>
    </w:p>
    <w:p>
      <w:pPr>
        <w:numPr>
          <w:ilvl w:val="0"/>
          <w:numId w:val="1001"/>
        </w:numPr>
        <w:pStyle w:val="Compact"/>
      </w:pPr>
      <w:r>
        <w:rPr>
          <w:bCs/>
          <w:b/>
        </w:rPr>
        <w:t xml:space="preserve">Governance Reform:</w:t>
      </w:r>
      <w:r>
        <w:t xml:space="preserve"> Restoring meaningful institutional autonomy to universities can help mitigate political interference and restore trust in the academic system.</w:t>
      </w:r>
    </w:p>
    <w:p>
      <w:pPr>
        <w:numPr>
          <w:ilvl w:val="0"/>
          <w:numId w:val="1001"/>
        </w:numPr>
        <w:pStyle w:val="Compact"/>
      </w:pPr>
      <w:r>
        <w:rPr>
          <w:bCs/>
          <w:b/>
        </w:rPr>
        <w:t xml:space="preserve">Funding Stability: </w:t>
      </w:r>
      <w:r>
        <w:t xml:space="preserve">Increasing stable funding for basic research rather than project-based grants would allow professors to pursue long-term, high-risk/high-reward inquiries.</w:t>
      </w:r>
    </w:p>
    <w:p>
      <w:pPr>
        <w:numPr>
          <w:ilvl w:val="0"/>
          <w:numId w:val="1001"/>
        </w:numPr>
        <w:pStyle w:val="Compact"/>
      </w:pPr>
      <w:r>
        <w:rPr>
          <w:bCs/>
          <w:b/>
        </w:rPr>
        <w:t xml:space="preserve">Mental Health Support:</w:t>
      </w:r>
      <w:r>
        <w:t xml:space="preserve"> Providing psychological support services for academics facing harassment or uncertainty can improve well-being and retention rates.</w:t>
      </w:r>
    </w:p>
    <w:p>
      <w:pPr>
        <w:numPr>
          <w:ilvl w:val="0"/>
          <w:numId w:val="1001"/>
        </w:numPr>
        <w:pStyle w:val="Compact"/>
      </w:pPr>
      <w:r>
        <w:rPr>
          <w:bCs/>
          <w:b/>
        </w:rPr>
        <w:t xml:space="preserve">Critical Thinking Promotion:</w:t>
      </w:r>
      <w:r>
        <w:t xml:space="preserve"> Encouraging pedagogical approaches that foster critical thinking rather than rote memorization will better prepare students for global citizenship.</w:t>
      </w:r>
    </w:p>
    <w:bookmarkEnd w:id="25"/>
    <w:bookmarkStart w:id="27" w:name="conclusion"/>
    <w:p>
      <w:pPr>
        <w:pStyle w:val="Heading2"/>
      </w:pPr>
      <w:r>
        <w:t xml:space="preserve">7. Conclusion</w:t>
      </w:r>
    </w:p>
    <w:p>
      <w:pPr>
        <w:pStyle w:val="FirstParagraph"/>
      </w:pPr>
      <w:r>
        <w:t xml:space="preserve">The professor in Turkey Ankara plays a crucial role in shaping the nation’s intellectual landscape and contributing to global knowledge production. However, their effectiveness is constrained by structural reforms, political pressures, and societal expectations. While challenges are significant, the resilience of Turkish academia remains evident through continued international collaboration and local community engagement.</w:t>
      </w:r>
    </w:p>
    <w:p>
      <w:pPr>
        <w:pStyle w:val="BodyText"/>
      </w:pPr>
      <w:r>
        <w:t xml:space="preserve">To ensure the sustainability of higher education in Turkey Ankara stakeholders must prioritize academic freedom, equitable resource distribution, and transparent governance. Only then can professors fully realize their potential as agents of innovation, education, and social progress.</w:t>
      </w:r>
    </w:p>
    <w:p>
      <w:r>
        <w:pict>
          <v:rect style="width:0;height:1.5pt" o:hralign="center" o:hrstd="t" o:hr="t"/>
        </w:pict>
      </w:r>
    </w:p>
    <w:bookmarkStart w:id="26" w:name="references-selected"/>
    <w:p>
      <w:pPr>
        <w:pStyle w:val="Heading3"/>
      </w:pPr>
      <w:r>
        <w:t xml:space="preserve">References (Selected)</w:t>
      </w:r>
    </w:p>
    <w:p>
      <w:pPr>
        <w:numPr>
          <w:ilvl w:val="0"/>
          <w:numId w:val="1002"/>
        </w:numPr>
        <w:pStyle w:val="Compact"/>
      </w:pPr>
      <w:r>
        <w:t xml:space="preserve">Kaya, A. &amp; Yıldırım, M. (2021). *Higher Education Reform and Academic Freedom in Turkey*. Journal of Higher Education Policy and Management, 43(2), 145-160.</w:t>
      </w:r>
    </w:p>
    <w:p>
      <w:pPr>
        <w:numPr>
          <w:ilvl w:val="0"/>
          <w:numId w:val="1002"/>
        </w:numPr>
        <w:pStyle w:val="Compact"/>
      </w:pPr>
      <w:r>
        <w:t xml:space="preserve">TÜBİTAK Annual Report (2023). *Research Funding Trends in Turkey*. Ankara: Scientific and Technological Research Council of Turkey.</w:t>
      </w:r>
    </w:p>
    <w:p>
      <w:pPr>
        <w:numPr>
          <w:ilvl w:val="0"/>
          <w:numId w:val="1002"/>
        </w:numPr>
        <w:pStyle w:val="Compact"/>
      </w:pPr>
      <w:r>
        <w:t xml:space="preserve">AŞKÖP Survey on Academic Working Conditions (2022). Istanbul: Turkish Academics for Solidarity with Professions.</w:t>
      </w:r>
    </w:p>
    <w:p>
      <w:pPr>
        <w:numPr>
          <w:ilvl w:val="0"/>
          <w:numId w:val="1002"/>
        </w:numPr>
        <w:pStyle w:val="Compact"/>
      </w:pPr>
      <w:r>
        <w:t xml:space="preserve">Bologna Process Follow-Up Group. (2019). *Trends Report IV: Bologna Process Implementation in Europe*. Brussels: European Commission.</w:t>
      </w:r>
    </w:p>
    <w:p>
      <w:pPr>
        <w:numPr>
          <w:ilvl w:val="0"/>
          <w:numId w:val="1002"/>
        </w:numPr>
        <w:pStyle w:val="Compact"/>
      </w:pPr>
      <w:r>
        <w:t xml:space="preserve">Middle East Technical University Internal Assessment Report (2023). Ankara: ODTÜ Press.</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and Challenges of Professors in Turkey: Ankara as a Case Study</dc:title>
  <dc:creator/>
  <dc:language>en</dc:language>
  <cp:keywords/>
  <dcterms:created xsi:type="dcterms:W3CDTF">2026-07-29T03:51:50Z</dcterms:created>
  <dcterms:modified xsi:type="dcterms:W3CDTF">2026-07-29T03:51:50Z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