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Social</w:t>
      </w:r>
      <w:r>
        <w:t xml:space="preserve"> </w:t>
      </w:r>
      <w:r>
        <w:t xml:space="preserve">Workers</w:t>
      </w:r>
      <w:r>
        <w:t xml:space="preserve"> </w:t>
      </w:r>
      <w:r>
        <w:t xml:space="preserve">in</w:t>
      </w:r>
      <w:r>
        <w:t xml:space="preserve"> </w:t>
      </w:r>
      <w:r>
        <w:t xml:space="preserve">Melbourne,</w:t>
      </w:r>
      <w:r>
        <w:t xml:space="preserve"> </w:t>
      </w:r>
      <w:r>
        <w:t xml:space="preserve">Australia</w:t>
      </w:r>
    </w:p>
    <w:p>
      <w:pPr>
        <w:pStyle w:val="FirstParagraph"/>
      </w:pPr>
      <w:r>
        <w:t xml:space="preserve">```html</w:t>
      </w:r>
    </w:p>
    <w:bookmarkStart w:id="27" w:name="X41a1ce71c509b70bb91581ffebb65a53b12d422"/>
    <w:p>
      <w:pPr>
        <w:pStyle w:val="Heading1"/>
      </w:pPr>
      <w:r>
        <w:t xml:space="preserve">The Role and Impact of Social Workers in Melbourne, Australia</w:t>
      </w:r>
    </w:p>
    <w:p>
      <w:pPr>
        <w:pStyle w:val="FirstParagraph"/>
      </w:pPr>
      <w:r>
        <w:rPr>
          <w:bCs/>
          <w:b/>
        </w:rPr>
        <w:t xml:space="preserve">Abstract:</w:t>
      </w:r>
    </w:p>
    <w:p>
      <w:pPr>
        <w:pStyle w:val="BodyText"/>
      </w:pPr>
      <w:r>
        <w:t xml:space="preserve">This research paper explores the critical function of social work within the complex urban landscape of Melbourne, Australia. As a major metropolitan hub with diverse demographic profiles, multicultural communities, and specific socioeconomic challenges, Melbourne presents unique contexts for professional practice. This study examines the regulatory frameworks guiding social workers in Australia and details their multifaceted roles in addressing mental health crises, child protection issues, homelessness services within Victoria’s capital city. The findings highlight how specialized interventions are tailored to meet the specific cultural and geographical needs of Melbourne residents.</w:t>
      </w:r>
    </w:p>
    <w:p>
      <w:pPr>
        <w:pStyle w:val="BodyText"/>
      </w:pPr>
      <w:r>
        <w:rPr>
          <w:iCs/>
          <w:i/>
          <w:bCs/>
          <w:b/>
        </w:rPr>
        <w:t xml:space="preserve">Keywords:</w:t>
      </w:r>
      <w:r>
        <w:br/>
      </w:r>
      <w:r>
        <w:t xml:space="preserve">Social Worker, Australia, Melbourne, Mental Health Services, Child Protection Systems,</w:t>
      </w:r>
      <w:r>
        <w:br/>
      </w:r>
      <w:r>
        <w:t xml:space="preserve">Australian Association of Social Workers (AASW), Urban Public Health.</w:t>
      </w:r>
    </w:p>
    <w:bookmarkStart w:id="20" w:name="i.-introduction"/>
    <w:p>
      <w:pPr>
        <w:pStyle w:val="Heading2"/>
      </w:pPr>
      <w:r>
        <w:t xml:space="preserve">I. Introduction</w:t>
      </w:r>
    </w:p>
    <w:p>
      <w:pPr>
        <w:pStyle w:val="FirstParagraph"/>
      </w:pPr>
      <w:r>
        <w:t xml:space="preserve">Social work is a practice-based profession and an academic discipline that promotes social change, development, cohesion, and the empowerment of people. Within the context of</w:t>
      </w:r>
      <w:r>
        <w:t xml:space="preserve"> </w:t>
      </w:r>
      <w:r>
        <w:rPr>
          <w:bCs/>
          <w:b/>
        </w:rPr>
        <w:t xml:space="preserve">Australia</w:t>
      </w:r>
      <w:r>
        <w:t xml:space="preserve">, this profession operates under strict ethical guidelines and professional standards mandated by the Australian Association of Social Workers (AASW). However, no region illustrates the dynamic nature of social work practice more vividly than</w:t>
      </w:r>
      <w:r>
        <w:t xml:space="preserve"> </w:t>
      </w:r>
      <w:r>
        <w:rPr>
          <w:bCs/>
          <w:b/>
        </w:rPr>
        <w:t xml:space="preserve">Melbourne</w:t>
      </w:r>
      <w:r>
        <w:t xml:space="preserve">. As Australia’s second-largest city and a global leader in liveability, Melbourne hosts a dense concentration of resources but also significant pockets of social disadvantage. This paper analyzes how a trained</w:t>
      </w:r>
      <w:r>
        <w:t xml:space="preserve"> </w:t>
      </w:r>
      <w:r>
        <w:rPr>
          <w:bCs/>
          <w:b/>
        </w:rPr>
        <w:t xml:space="preserve">Social Worker</w:t>
      </w:r>
      <w:r>
        <w:t xml:space="preserve"> </w:t>
      </w:r>
      <w:r>
        <w:t xml:space="preserve">navigates these dualities to effect meaningful change.</w:t>
      </w:r>
    </w:p>
    <w:p>
      <w:pPr>
        <w:pStyle w:val="BodyText"/>
      </w:pPr>
      <w:r>
        <w:t xml:space="preserve">The relevance of this study stems from the increasing complexity of social issues faced by modern urban populations. In Melbourne specifically, pressures such as rapid population growth, high housing costs in inner-city suburbs like Carlton and Richmond, and the integration challenges faced by migrants arriving at Victorian ports necessitate robust social service interventions. Understanding the local application of</w:t>
      </w:r>
      <w:r>
        <w:t xml:space="preserve"> </w:t>
      </w:r>
      <w:r>
        <w:rPr>
          <w:bCs/>
          <w:b/>
        </w:rPr>
        <w:t xml:space="preserve">Australia</w:t>
      </w:r>
      <w:r>
        <w:t xml:space="preserve">'s national framework through a</w:t>
      </w:r>
      <w:r>
        <w:t xml:space="preserve"> </w:t>
      </w:r>
      <w:r>
        <w:rPr>
          <w:bCs/>
          <w:b/>
        </w:rPr>
        <w:t xml:space="preserve">Melbourne</w:t>
      </w:r>
      <w:r>
        <w:t xml:space="preserve"> </w:t>
      </w:r>
      <w:r>
        <w:t xml:space="preserve">lens provides critical insights into urban social work efficacy.</w:t>
      </w:r>
    </w:p>
    <w:bookmarkEnd w:id="20"/>
    <w:bookmarkStart w:id="21" w:name="Xb84a8c164511cb2e188f90df0ca33350b655290"/>
    <w:p>
      <w:pPr>
        <w:pStyle w:val="Heading2"/>
      </w:pPr>
      <w:r>
        <w:t xml:space="preserve">II. The Regulatory and Ethical Landscape in Australia</w:t>
      </w:r>
    </w:p>
    <w:p>
      <w:pPr>
        <w:pStyle w:val="FirstParagraph"/>
      </w:pPr>
      <w:r>
        <w:t xml:space="preserve">To understand the practice of a</w:t>
      </w:r>
      <w:r>
        <w:t xml:space="preserve"> </w:t>
      </w:r>
      <w:r>
        <w:rPr>
          <w:bCs/>
          <w:b/>
        </w:rPr>
        <w:t xml:space="preserve">Social Worker</w:t>
      </w:r>
      <w:r>
        <w:t xml:space="preserve">, one must first acknowledge the rigorous educational and ethical standards enforced across</w:t>
      </w:r>
      <w:r>
        <w:t xml:space="preserve"> </w:t>
      </w:r>
      <w:r>
        <w:rPr>
          <w:bCs/>
          <w:b/>
        </w:rPr>
        <w:t xml:space="preserve">Australia</w:t>
      </w:r>
      <w:r>
        <w:t xml:space="preserve">. Unlike some nations where titles may be loosely protected, in Australia, individuals using the title "social worker" are generally required to be accredited by the AASW or maintain equivalent professional standing. This ensures that every</w:t>
      </w:r>
      <w:r>
        <w:t xml:space="preserve"> </w:t>
      </w:r>
      <w:r>
        <w:rPr>
          <w:bCs/>
          <w:b/>
        </w:rPr>
        <w:t xml:space="preserve">Social Worker</w:t>
      </w:r>
      <w:r>
        <w:t xml:space="preserve"> </w:t>
      </w:r>
      <w:r>
        <w:t xml:space="preserve">practicing in Melbourne is equipped with advanced competencies in human rights advocacy, ethical decision-making, and evidence-based intervention strategies.</w:t>
      </w:r>
    </w:p>
    <w:p>
      <w:pPr>
        <w:pStyle w:val="BodyText"/>
      </w:pPr>
      <w:r>
        <w:t xml:space="preserve">The Australian Regulatory Framework emphasizes cultural safety—a crucial component when working in multicultural hubs like Melbourne. Social workers must possess not only clinical skills but also the cultural humility required to engage effectively with First Nations Victorians (Aboriginal and Torres Strait Islander peoples) as well as diverse migrant communities from Africa, Asia, and Europe who comprise much of Melbourne's vibrant demographic.</w:t>
      </w:r>
    </w:p>
    <w:bookmarkEnd w:id="21"/>
    <w:bookmarkStart w:id="22" w:name="X6f01a80b9b5e214f6d2c1228a9c69b3462c836d"/>
    <w:p>
      <w:pPr>
        <w:pStyle w:val="Heading2"/>
      </w:pPr>
      <w:r>
        <w:t xml:space="preserve">III. Mental Health Interventions in the Melbourne Context</w:t>
      </w:r>
    </w:p>
    <w:p>
      <w:pPr>
        <w:pStyle w:val="FirstParagraph"/>
      </w:pPr>
      <w:r>
        <w:t xml:space="preserve">Melbourne is renowned for its robust mental health infrastructure, yet demand continues to outstrip supply. A primary domain where a</w:t>
      </w:r>
      <w:r>
        <w:t xml:space="preserve"> </w:t>
      </w:r>
      <w:r>
        <w:rPr>
          <w:bCs/>
          <w:b/>
        </w:rPr>
        <w:t xml:space="preserve">Social Worker</w:t>
      </w:r>
      <w:r>
        <w:t xml:space="preserve"> </w:t>
      </w:r>
      <w:r>
        <w:t xml:space="preserve">operates extensively in this city is within the public and private mental health sectors, including facilities such as the Royal Melbourne Hospital or community-based NGOs like Headspace Victoria. Social workers here function not merely as counselors but as case managers who coordinate care between psychologists, psychiatrists, and general practitioners.</w:t>
      </w:r>
    </w:p>
    <w:p>
      <w:pPr>
        <w:pStyle w:val="BodyText"/>
      </w:pPr>
      <w:r>
        <w:t xml:space="preserve">In Melbourne's western suburbs—areas often identified by higher indices of disadvantage—</w:t>
      </w:r>
      <w:r>
        <w:rPr>
          <w:bCs/>
          <w:b/>
        </w:rPr>
        <w:t xml:space="preserve">Social Worker</w:t>
      </w:r>
      <w:r>
        <w:t xml:space="preserve"> </w:t>
      </w:r>
      <w:r>
        <w:t xml:space="preserve">interventions are vital in bridging the gap between clinical diagnosis and daily living. They assist individuals navigating the National Disability Insurance Scheme (NDIS), ensuring that young people and adults with psychosocial disabilities receive appropriate funding and support to remain integrated within their communities rather than institutionalized. This localized approach addresses specific Melbourne health disparities effectively.</w:t>
      </w:r>
    </w:p>
    <w:bookmarkEnd w:id="22"/>
    <w:bookmarkStart w:id="23" w:name="Xfd0538fa0b6893254894798cc5bf76fef2b7ac0"/>
    <w:p>
      <w:pPr>
        <w:pStyle w:val="Heading2"/>
      </w:pPr>
      <w:r>
        <w:t xml:space="preserve">IV. Child Protection and Family Support Systems in Victoria</w:t>
      </w:r>
    </w:p>
    <w:p>
      <w:pPr>
        <w:pStyle w:val="FirstParagraph"/>
      </w:pPr>
      <w:r>
        <w:t xml:space="preserve">VicHealth and Department of Families, Fairness and Housing (DFFH) operate heavily in the Victorian capital. In this realm, a</w:t>
      </w:r>
      <w:r>
        <w:t xml:space="preserve"> </w:t>
      </w:r>
      <w:r>
        <w:rPr>
          <w:bCs/>
          <w:b/>
        </w:rPr>
        <w:t xml:space="preserve">Social Worker</w:t>
      </w:r>
      <w:r>
        <w:t xml:space="preserve"> </w:t>
      </w:r>
      <w:r>
        <w:t xml:space="preserve">plays an indispensable role within the child protection system based in Melbourne. They conduct risk assessments for families experiencing domestic violence or substance abuse issues. The workload is intensive; therefore, social workers utilize trauma-informed care practices to support vulnerable children.</w:t>
      </w:r>
    </w:p>
    <w:p>
      <w:pPr>
        <w:pStyle w:val="BodyText"/>
      </w:pPr>
      <w:r>
        <w:t xml:space="preserve">Furthermore, community organizations across Melbourne, such as UnitingCare and Anglicare Victoria, employ numerous social workers who provide early intervention services. By identifying at-risk youth in schools located in diverse Melbourne postcodes (such as Footscray or Dandenong), these professionals prevent minor issues from escalating into severe crises requiring state intervention. Their presence underscores the preventative capacity of local</w:t>
      </w:r>
      <w:r>
        <w:t xml:space="preserve"> </w:t>
      </w:r>
      <w:r>
        <w:rPr>
          <w:bCs/>
          <w:b/>
        </w:rPr>
        <w:t xml:space="preserve">Australia</w:t>
      </w:r>
      <w:r>
        <w:t xml:space="preserve">-based policy implementation.</w:t>
      </w:r>
    </w:p>
    <w:bookmarkEnd w:id="23"/>
    <w:bookmarkStart w:id="24" w:name="Xc6780311a72ddf895a3128b30648967e5232154"/>
    <w:p>
      <w:pPr>
        <w:pStyle w:val="Heading2"/>
      </w:pPr>
      <w:r>
        <w:t xml:space="preserve">V. Addressing Homelessness in Melbourne’s Urban Core</w:t>
      </w:r>
    </w:p>
    <w:p>
      <w:pPr>
        <w:pStyle w:val="FirstParagraph"/>
      </w:pPr>
      <w:r>
        <w:t xml:space="preserve">Despite being a "liveable" city, homelessness remains a pressing concern in Melbourne, particularly among the youth and those fleeing family violence. Shelter Victoria and The Salvation Army are key entities employing social workers to manage hostels and transitional housing projects scattered throughout the CBD (Central Business District) and surrounding areas like Collingwood. Here, a</w:t>
      </w:r>
      <w:r>
        <w:t xml:space="preserve"> </w:t>
      </w:r>
      <w:r>
        <w:rPr>
          <w:bCs/>
          <w:b/>
        </w:rPr>
        <w:t xml:space="preserve">Social Worker</w:t>
      </w:r>
      <w:r>
        <w:t xml:space="preserve"> </w:t>
      </w:r>
      <w:r>
        <w:t xml:space="preserve">acts as an advocate, helping clients secure permanent housing subsidies through Centrelink while addressing underlying issues such as unemployment or addiction.</w:t>
      </w:r>
    </w:p>
    <w:p>
      <w:pPr>
        <w:pStyle w:val="BodyText"/>
      </w:pPr>
      <w:r>
        <w:t xml:space="preserve">The unique geography of Melbourne—characterized by sprawling suburbs and dense inner-city pockets—means that social workers must be adept at connecting clients with transportable resources. Advocacy plays a pivotal role here; social workers lobby local government bodies regarding affordable housing developments, ensuring policy aligns with the humanitarian principles upheld across</w:t>
      </w:r>
      <w:r>
        <w:t xml:space="preserve"> </w:t>
      </w:r>
      <w:r>
        <w:rPr>
          <w:bCs/>
          <w:b/>
        </w:rPr>
        <w:t xml:space="preserve">Australia</w:t>
      </w:r>
      <w:r>
        <w:t xml:space="preserve">.</w:t>
      </w:r>
    </w:p>
    <w:bookmarkEnd w:id="24"/>
    <w:bookmarkStart w:id="25" w:name="Xba6d2ef3dfaef4b590418dd9854e824cb95d2cb"/>
    <w:p>
      <w:pPr>
        <w:pStyle w:val="Heading2"/>
      </w:pPr>
      <w:r>
        <w:t xml:space="preserve">VI. Conclusion and Future Outlook for Melbourne’s Sector</w:t>
      </w:r>
    </w:p>
    <w:p>
      <w:pPr>
        <w:pStyle w:val="FirstParagraph"/>
      </w:pPr>
      <w:r>
        <w:t xml:space="preserve">In conclusion, the profession of a</w:t>
      </w:r>
      <w:r>
        <w:t xml:space="preserve"> </w:t>
      </w:r>
      <w:r>
        <w:rPr>
          <w:bCs/>
          <w:b/>
        </w:rPr>
        <w:t xml:space="preserve">Social Worker</w:t>
      </w:r>
      <w:r>
        <w:t xml:space="preserve"> </w:t>
      </w:r>
      <w:r>
        <w:t xml:space="preserve">in Melbourne,</w:t>
      </w:r>
      <w:r>
        <w:t xml:space="preserve"> </w:t>
      </w:r>
      <w:r>
        <w:rPr>
          <w:bCs/>
          <w:b/>
        </w:rPr>
        <w:t xml:space="preserve">Australia</w:t>
      </w:r>
      <w:r>
        <w:t xml:space="preserve">, represents a sophisticated blend of clinical practice, policy advocacy, and community development. The city provides an ideal backdrop to study how national standards are adapted to local realities. From managing complex mental health cases in the CBD to safeguarding children in outer-ring suburbs like Melton or Cranbourne, these professionals ensure that social justice is actively pursued.</w:t>
      </w:r>
    </w:p>
    <w:p>
      <w:pPr>
        <w:pStyle w:val="BodyText"/>
      </w:pPr>
      <w:r>
        <w:t xml:space="preserve">Looking ahead, as Melbourne continues to grow and demographic shifts occur globally due to climate change and migration patterns, the role of the</w:t>
      </w:r>
      <w:r>
        <w:t xml:space="preserve"> </w:t>
      </w:r>
      <w:r>
        <w:rPr>
          <w:bCs/>
          <w:b/>
        </w:rPr>
        <w:t xml:space="preserve">Social Worker</w:t>
      </w:r>
      <w:r>
        <w:t xml:space="preserve"> </w:t>
      </w:r>
      <w:r>
        <w:t xml:space="preserve">will only expand. Future research should focus on digital inclusion for vulnerable populations in Victoria and how telehealth services can be leveraged by Australian social workers to maintain continuity of care across greater Melbourne. Ultimately, supporting a resilient Melbourne relies heavily on empowering its dedicated social work professionals.</w:t>
      </w:r>
    </w:p>
    <w:bookmarkEnd w:id="25"/>
    <w:bookmarkStart w:id="26" w:name="vii.-references"/>
    <w:p>
      <w:pPr>
        <w:pStyle w:val="Heading2"/>
      </w:pPr>
      <w:r>
        <w:t xml:space="preserve">VII. References</w:t>
      </w:r>
    </w:p>
    <w:p>
      <w:pPr>
        <w:numPr>
          <w:ilvl w:val="0"/>
          <w:numId w:val="1001"/>
        </w:numPr>
        <w:pStyle w:val="Compact"/>
      </w:pPr>
      <w:r>
        <w:t xml:space="preserve">Australian Association of Social Workers (AASW). (n.d.). Code of Ethics.</w:t>
      </w:r>
    </w:p>
    <w:p>
      <w:pPr>
        <w:numPr>
          <w:ilvl w:val="0"/>
          <w:numId w:val="1001"/>
        </w:numPr>
        <w:pStyle w:val="Compact"/>
      </w:pPr>
      <w:r>
        <w:t xml:space="preserve">Department of Families, Fairness and Housing Victoria. (2023). Annual Report on Child Protection Services.</w:t>
      </w:r>
    </w:p>
    <w:p>
      <w:pPr>
        <w:numPr>
          <w:ilvl w:val="0"/>
          <w:numId w:val="1001"/>
        </w:numPr>
        <w:pStyle w:val="Compact"/>
      </w:pPr>
      <w:r>
        <w:t xml:space="preserve">Melbourne Health. (2024). Community Mental Health Strategy.</w:t>
      </w:r>
    </w:p>
    <w:p>
      <w:pPr>
        <w:numPr>
          <w:ilvl w:val="0"/>
          <w:numId w:val="1001"/>
        </w:numPr>
        <w:pStyle w:val="Compact"/>
      </w:pPr>
      <w:r>
        <w:t xml:space="preserve">Schwarzer, C., &amp; Liddy, M. (Eds.). (2019). Social Work in Australia: Contexts and Practice. Oxford University Press.</w:t>
      </w:r>
    </w:p>
    <w:bookmarkEnd w:id="26"/>
    <w:p>
      <w:pPr>
        <w:pStyle w:val="FirstParagraph"/>
      </w:pP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Social Workers in Melbourne, Australia</dc:title>
  <dc:creator/>
  <dc:language>en</dc:language>
  <cp:keywords/>
  <dcterms:created xsi:type="dcterms:W3CDTF">2026-07-29T15:05:12Z</dcterms:created>
  <dcterms:modified xsi:type="dcterms:W3CDTF">2026-07-29T15:05:12Z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