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Research</w:t>
      </w:r>
      <w:r>
        <w:t xml:space="preserve"> </w:t>
      </w:r>
      <w:r>
        <w:t xml:space="preserve">Paper</w:t>
      </w:r>
    </w:p>
    <w:bookmarkStart w:id="31" w:name="X7cff99db4b0adeb02b830ffffa82550db128d73"/>
    <w:p>
      <w:pPr>
        <w:pStyle w:val="Heading1"/>
      </w:pPr>
      <w:r>
        <w:t xml:space="preserve">The Role and Impact of the Social Worker in Colombia Bogotá</w:t>
      </w:r>
      <w:r>
        <w:br/>
      </w:r>
      <w:r>
        <w:t xml:space="preserve">Addressing Urban Complexity through Professional Intervention</w:t>
      </w:r>
    </w:p>
    <w:p>
      <w:pPr>
        <w:pStyle w:val="FirstParagraph"/>
      </w:pPr>
      <w:r>
        <w:rPr>
          <w:bCs/>
          <w:b/>
        </w:rPr>
        <w:t xml:space="preserve">A Research Paper</w:t>
      </w:r>
      <w:r>
        <w:br/>
      </w:r>
      <w:r>
        <w:t xml:space="preserve">Submitted for Academic Review</w:t>
      </w:r>
      <w:r>
        <w:br/>
      </w:r>
      <w:r>
        <w:t xml:space="preserve">Date: October 2023</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Social Worker</w:t>
      </w:r>
      <w:r>
        <w:t xml:space="preserve">, specifically focusing on their critical operations within the unique urban landscape of</w:t>
      </w:r>
      <w:r>
        <w:t xml:space="preserve"> </w:t>
      </w:r>
      <w:r>
        <w:rPr>
          <w:bCs/>
          <w:b/>
        </w:rPr>
        <w:t xml:space="preserve">Bogotá, Colombia</w:t>
      </w:r>
      <w:r>
        <w:t xml:space="preserve">. As one of South America's largest metropolitan areas, Bogotá presents distinct challenges related to inequality, displacement, and institutional fragmentation. The study argues that in this specific context, the</w:t>
      </w:r>
      <w:r>
        <w:t xml:space="preserve"> </w:t>
      </w:r>
      <w:r>
        <w:rPr>
          <w:iCs/>
          <w:i/>
        </w:rPr>
        <w:t xml:space="preserve">Social Worker</w:t>
      </w:r>
      <w:r>
        <w:t xml:space="preserve"> </w:t>
      </w:r>
      <w:r>
        <w:t xml:space="preserve">is not merely an administrative functionary but a pivotal agent of social cohesion and rights defense. By analyzing legal frameworks such as Law 100 of 1993 and the recent Law 2067, this document highlights how professional social work practices in</w:t>
      </w:r>
      <w:r>
        <w:t xml:space="preserve"> </w:t>
      </w:r>
      <w:r>
        <w:rPr>
          <w:bCs/>
          <w:b/>
        </w:rPr>
        <w:t xml:space="preserve">Colombia Bogotá</w:t>
      </w:r>
      <w:r>
        <w:t xml:space="preserve"> </w:t>
      </w:r>
      <w:r>
        <w:t xml:space="preserve">mitigate urban poverty and facilitate access to public services for marginalized populations.</w:t>
      </w:r>
    </w:p>
    <w:bookmarkEnd w:id="20"/>
    <w:bookmarkStart w:id="21" w:name="i.-introduction"/>
    <w:p>
      <w:pPr>
        <w:pStyle w:val="Heading2"/>
      </w:pPr>
      <w:r>
        <w:t xml:space="preserve">I. Introduction</w:t>
      </w:r>
    </w:p>
    <w:p>
      <w:pPr>
        <w:pStyle w:val="FirstParagraph"/>
      </w:pPr>
      <w:r>
        <w:t xml:space="preserve">The city of Bogotá serves as the political, economic, and cultural heart of Colombia. With a population exceeding eight million inhabitants, it is characterized by extreme socioeconomic disparities. On one hand, there are affluent northern localities with high levels of development; on the other hand, southern and peripheral areas suffer from inadequate infrastructure and limited state presence. It is within this dichotomy that the</w:t>
      </w:r>
      <w:r>
        <w:t xml:space="preserve"> </w:t>
      </w:r>
      <w:r>
        <w:rPr>
          <w:bCs/>
          <w:b/>
        </w:rPr>
        <w:t xml:space="preserve">Social Worker</w:t>
      </w:r>
      <w:r>
        <w:t xml:space="preserve"> </w:t>
      </w:r>
      <w:r>
        <w:t xml:space="preserve">operates as a essential bridge between the citizenry and the state.</w:t>
      </w:r>
    </w:p>
    <w:p>
      <w:pPr>
        <w:pStyle w:val="BodyText"/>
      </w:pPr>
      <w:r>
        <w:t xml:space="preserve">The objective of this paper is to analyze how</w:t>
      </w:r>
      <w:r>
        <w:t xml:space="preserve"> </w:t>
      </w:r>
      <w:r>
        <w:rPr>
          <w:iCs/>
          <w:i/>
        </w:rPr>
        <w:t xml:space="preserve">Social Workers</w:t>
      </w:r>
      <w:r>
        <w:t xml:space="preserve"> </w:t>
      </w:r>
      <w:r>
        <w:t xml:space="preserve">function in</w:t>
      </w:r>
      <w:r>
        <w:t xml:space="preserve"> </w:t>
      </w:r>
      <w:r>
        <w:rPr>
          <w:bCs/>
          <w:b/>
        </w:rPr>
        <w:t xml:space="preserve">Bogotá, Colombia</w:t>
      </w:r>
      <w:r>
        <w:t xml:space="preserve">, navigating a complex legal environment while addressing urgent humanitarian needs. The professional practice of social work in this region is deeply influenced by decades of internal conflict, forced displacement, and rapid urbanization. Consequently, the definition and execution of duties for a</w:t>
      </w:r>
      <w:r>
        <w:t xml:space="preserve"> </w:t>
      </w:r>
      <w:r>
        <w:rPr>
          <w:iCs/>
          <w:i/>
        </w:rPr>
        <w:t xml:space="preserve">Social Worker</w:t>
      </w:r>
      <w:r>
        <w:t xml:space="preserve"> </w:t>
      </w:r>
      <w:r>
        <w:t xml:space="preserve">in</w:t>
      </w:r>
      <w:r>
        <w:t xml:space="preserve"> </w:t>
      </w:r>
      <w:r>
        <w:rPr>
          <w:bCs/>
          <w:b/>
        </w:rPr>
        <w:t xml:space="preserve">Bogotá</w:t>
      </w:r>
      <w:r>
        <w:t xml:space="preserve"> </w:t>
      </w:r>
      <w:r>
        <w:t xml:space="preserve">extend beyond traditional casework to include crisis intervention, legal advocacy, and community organization.</w:t>
      </w:r>
    </w:p>
    <w:bookmarkEnd w:id="21"/>
    <w:bookmarkStart w:id="22" w:name="X3269306e5f42a3e04191694e0504fc4293dc491"/>
    <w:p>
      <w:pPr>
        <w:pStyle w:val="Heading2"/>
      </w:pPr>
      <w:r>
        <w:t xml:space="preserve">II. Historical Context of Social Work in Colombia</w:t>
      </w:r>
    </w:p>
    <w:p>
      <w:pPr>
        <w:pStyle w:val="FirstParagraph"/>
      </w:pPr>
      <w:r>
        <w:t xml:space="preserve">To understand the current state of social work in</w:t>
      </w:r>
      <w:r>
        <w:t xml:space="preserve"> </w:t>
      </w:r>
      <w:r>
        <w:rPr>
          <w:bCs/>
          <w:b/>
        </w:rPr>
        <w:t xml:space="preserve">Bogotá, Colombia</w:t>
      </w:r>
      <w:r>
        <w:t xml:space="preserve">, one must look at its historical evolution. The profession gained formal recognition in the mid-20th century, heavily influenced by Catholic social teaching and later by progressive sociological theories. However, it was after the adoption of the 1991 Political Constitution that social work truly transformed into a rights-based profession.</w:t>
      </w:r>
    </w:p>
    <w:p>
      <w:pPr>
        <w:pStyle w:val="BodyText"/>
      </w:pPr>
      <w:r>
        <w:t xml:space="preserve">In</w:t>
      </w:r>
      <w:r>
        <w:t xml:space="preserve"> </w:t>
      </w:r>
      <w:r>
        <w:rPr>
          <w:bCs/>
          <w:b/>
        </w:rPr>
        <w:t xml:space="preserve">Colombia</w:t>
      </w:r>
      <w:r>
        <w:t xml:space="preserve">, particularly in its capital city, the emergence of urban violence and displacement forced</w:t>
      </w:r>
      <w:r>
        <w:t xml:space="preserve"> </w:t>
      </w:r>
      <w:r>
        <w:rPr>
          <w:iCs/>
          <w:i/>
        </w:rPr>
        <w:t xml:space="preserve">Social Workers</w:t>
      </w:r>
      <w:r>
        <w:t xml:space="preserve"> </w:t>
      </w:r>
      <w:r>
        <w:t xml:space="preserve">to adapt their methodologies. The destruction of rural communities led to mass migration into Bogotá, creating informal settlements (barrios marginales). In these contexts, the</w:t>
      </w:r>
      <w:r>
        <w:t xml:space="preserve"> </w:t>
      </w:r>
      <w:r>
        <w:rPr>
          <w:bCs/>
          <w:b/>
        </w:rPr>
        <w:t xml:space="preserve">Social Worker</w:t>
      </w:r>
      <w:r>
        <w:t xml:space="preserve"> </w:t>
      </w:r>
      <w:r>
        <w:t xml:space="preserve">became a primary responder to trauma and loss, tasked with integrating displaced persons into the urban fabric. This historical shift established a precedent where social work in</w:t>
      </w:r>
      <w:r>
        <w:t xml:space="preserve"> </w:t>
      </w:r>
      <w:r>
        <w:rPr>
          <w:bCs/>
          <w:b/>
        </w:rPr>
        <w:t xml:space="preserve">Bogotá</w:t>
      </w:r>
      <w:r>
        <w:t xml:space="preserve"> </w:t>
      </w:r>
      <w:r>
        <w:t xml:space="preserve">is inherently linked to resilience building and conflict resolution.</w:t>
      </w:r>
    </w:p>
    <w:bookmarkEnd w:id="22"/>
    <w:bookmarkStart w:id="23" w:name="Xfc4b673b87589e9957c48547b1ec5d1695d0523"/>
    <w:p>
      <w:pPr>
        <w:pStyle w:val="Heading2"/>
      </w:pPr>
      <w:r>
        <w:t xml:space="preserve">III. The Legal Framework: Law 100 and Law 2067</w:t>
      </w:r>
    </w:p>
    <w:p>
      <w:pPr>
        <w:pStyle w:val="FirstParagraph"/>
      </w:pPr>
      <w:r>
        <w:t xml:space="preserve">The effectiveness of the</w:t>
      </w:r>
      <w:r>
        <w:t xml:space="preserve"> </w:t>
      </w:r>
      <w:r>
        <w:rPr>
          <w:iCs/>
          <w:i/>
        </w:rPr>
        <w:t xml:space="preserve">Social Worker</w:t>
      </w:r>
      <w:r>
        <w:t xml:space="preserve"> </w:t>
      </w:r>
      <w:r>
        <w:t xml:space="preserve">in</w:t>
      </w:r>
      <w:r>
        <w:t xml:space="preserve"> </w:t>
      </w:r>
      <w:r>
        <w:rPr>
          <w:bCs/>
          <w:b/>
        </w:rPr>
        <w:t xml:space="preserve">Bogotá, Colombia</w:t>
      </w:r>
      <w:r>
        <w:t xml:space="preserve">, is largely defined by legislative mandates. The cornerstone of this framework is Law 100 of 1993, which reformed the social security system. This law designated health and pension management to specialized entities (EPS and AFPs), creating a massive demand for professionals who could interpret these complex systems for beneficiaries.</w:t>
      </w:r>
    </w:p>
    <w:p>
      <w:pPr>
        <w:pStyle w:val="BodyText"/>
      </w:pPr>
      <w:r>
        <w:t xml:space="preserve">In</w:t>
      </w:r>
      <w:r>
        <w:t xml:space="preserve"> </w:t>
      </w:r>
      <w:r>
        <w:rPr>
          <w:bCs/>
          <w:b/>
        </w:rPr>
        <w:t xml:space="preserve">Bogotá</w:t>
      </w:r>
      <w:r>
        <w:t xml:space="preserve">,</w:t>
      </w:r>
      <w:r>
        <w:t xml:space="preserve"> </w:t>
      </w:r>
      <w:r>
        <w:rPr>
          <w:iCs/>
          <w:i/>
        </w:rPr>
        <w:t xml:space="preserve">Social Workers</w:t>
      </w:r>
      <w:r>
        <w:t xml:space="preserve"> </w:t>
      </w:r>
      <w:r>
        <w:t xml:space="preserve">are frequently employed by these entities to conduct socioeconomic stratification studies. They determine whether an individual qualifies for subsidized health plans or pension benefits based on their living conditions. This role is critical in a city where informal employment is high, and many citizens lack the documentation required to access basic rights.</w:t>
      </w:r>
    </w:p>
    <w:p>
      <w:pPr>
        <w:pStyle w:val="BodyText"/>
      </w:pPr>
      <w:r>
        <w:t xml:space="preserve">Furthermore, Law 2067 of 2020, known as the "Ley de Envejecimiento y Vejez" (Law on Aging), has expanded the role of</w:t>
      </w:r>
      <w:r>
        <w:t xml:space="preserve"> </w:t>
      </w:r>
      <w:r>
        <w:rPr>
          <w:iCs/>
          <w:i/>
        </w:rPr>
        <w:t xml:space="preserve">Social Workers</w:t>
      </w:r>
      <w:r>
        <w:t xml:space="preserve">. This law mandates a comprehensive approach to elderly care, recognizing that older adults in</w:t>
      </w:r>
      <w:r>
        <w:t xml:space="preserve"> </w:t>
      </w:r>
      <w:r>
        <w:rPr>
          <w:bCs/>
          <w:b/>
        </w:rPr>
        <w:t xml:space="preserve">Bogotá</w:t>
      </w:r>
      <w:r>
        <w:t xml:space="preserve"> </w:t>
      </w:r>
      <w:r>
        <w:t xml:space="preserve">often face isolation and lack of support. Social workers are now legally tasked with designing community programs that promote active aging, ensuring that the elderly population remains integrated into society rather than hidden away in institutions. This legislative shift underscores the evolving nature of social work from mere charity to structured rights protection.</w:t>
      </w:r>
    </w:p>
    <w:bookmarkEnd w:id="23"/>
    <w:bookmarkStart w:id="27" w:name="iv.-key-areas-of-intervention-in-bogotá"/>
    <w:p>
      <w:pPr>
        <w:pStyle w:val="Heading2"/>
      </w:pPr>
      <w:r>
        <w:t xml:space="preserve">IV. Key Areas of Intervention in Bogotá</w:t>
      </w:r>
    </w:p>
    <w:p>
      <w:pPr>
        <w:pStyle w:val="FirstParagraph"/>
      </w:pPr>
      <w:r>
        <w:t xml:space="preserve">In the specific urban environment of</w:t>
      </w:r>
      <w:r>
        <w:t xml:space="preserve"> </w:t>
      </w:r>
      <w:r>
        <w:rPr>
          <w:bCs/>
          <w:b/>
        </w:rPr>
        <w:t xml:space="preserve">Bogotá, Colombia</w:t>
      </w:r>
      <w:r>
        <w:t xml:space="preserve">,</w:t>
      </w:r>
      <w:r>
        <w:t xml:space="preserve"> </w:t>
      </w:r>
      <w:r>
        <w:rPr>
          <w:iCs/>
          <w:i/>
        </w:rPr>
        <w:t xml:space="preserve">Social Workers</w:t>
      </w:r>
      <w:r>
        <w:t xml:space="preserve"> </w:t>
      </w:r>
      <w:r>
        <w:t xml:space="preserve">operate across several critical sectors:</w:t>
      </w:r>
    </w:p>
    <w:bookmarkStart w:id="24" w:name="X0530610eaa4060f42e81ef1b603e71a6217662d"/>
    <w:p>
      <w:pPr>
        <w:pStyle w:val="Heading3"/>
      </w:pPr>
      <w:r>
        <w:t xml:space="preserve">A. Management and Administration (EPS and AFP)</w:t>
      </w:r>
    </w:p>
    <w:p>
      <w:pPr>
        <w:pStyle w:val="FirstParagraph"/>
      </w:pPr>
      <w:r>
        <w:t xml:space="preserve">The most visible role for a</w:t>
      </w:r>
      <w:r>
        <w:t xml:space="preserve"> </w:t>
      </w:r>
      <w:r>
        <w:rPr>
          <w:bCs/>
          <w:b/>
        </w:rPr>
        <w:t xml:space="preserve">Social Worker</w:t>
      </w:r>
      <w:r>
        <w:t xml:space="preserve"> </w:t>
      </w:r>
      <w:r>
        <w:t xml:space="preserve">in this context is within the Health Promoters (EPS). Here, they manage user records, verify eligibility for services, and resolve disputes between patients and healthcare providers. In</w:t>
      </w:r>
      <w:r>
        <w:t xml:space="preserve"> </w:t>
      </w:r>
      <w:r>
        <w:rPr>
          <w:bCs/>
          <w:b/>
        </w:rPr>
        <w:t xml:space="preserve">Bogotá</w:t>
      </w:r>
      <w:r>
        <w:t xml:space="preserve">, where millions rely on the subsidized regime due to low income, the accuracy of a</w:t>
      </w:r>
      <w:r>
        <w:t xml:space="preserve"> </w:t>
      </w:r>
      <w:r>
        <w:rPr>
          <w:iCs/>
          <w:i/>
        </w:rPr>
        <w:t xml:space="preserve">Social Worker</w:t>
      </w:r>
      <w:r>
        <w:t xml:space="preserve">’s assessment directly impacts life-and-death outcomes regarding access to medical treatment.</w:t>
      </w:r>
    </w:p>
    <w:bookmarkEnd w:id="24"/>
    <w:bookmarkStart w:id="25" w:name="b.-justice-and-family-welfare-icbf"/>
    <w:p>
      <w:pPr>
        <w:pStyle w:val="Heading3"/>
      </w:pPr>
      <w:r>
        <w:t xml:space="preserve">B. Justice and Family Welfare (ICBF)</w:t>
      </w:r>
    </w:p>
    <w:p>
      <w:pPr>
        <w:pStyle w:val="FirstParagraph"/>
      </w:pPr>
      <w:r>
        <w:t xml:space="preserve">The Colombian Institute of Family Welfare (ICBF) employs numerous</w:t>
      </w:r>
      <w:r>
        <w:t xml:space="preserve"> </w:t>
      </w:r>
      <w:r>
        <w:rPr>
          <w:iCs/>
          <w:i/>
        </w:rPr>
        <w:t xml:space="preserve">Social Workers</w:t>
      </w:r>
      <w:r>
        <w:t xml:space="preserve"> </w:t>
      </w:r>
      <w:r>
        <w:t xml:space="preserve">in Bogotá to protect children, adolescents, and families at risk. Given the history of paramilitary violence and armed conflict in Colombia, many children are victims of recruitment or abandonment. In</w:t>
      </w:r>
      <w:r>
        <w:t xml:space="preserve"> </w:t>
      </w:r>
      <w:r>
        <w:rPr>
          <w:bCs/>
          <w:b/>
        </w:rPr>
        <w:t xml:space="preserve">Bogotá</w:t>
      </w:r>
      <w:r>
        <w:t xml:space="preserve">, social workers coordinate foster care placements and conduct psychological evaluations to determine family reintegration possibilities. Their work is vital in breaking cycles of poverty and violence.</w:t>
      </w:r>
    </w:p>
    <w:bookmarkEnd w:id="25"/>
    <w:bookmarkStart w:id="26" w:name="X3dac8a422482a00fe2edd1ed7262c9fee7a94cb"/>
    <w:p>
      <w:pPr>
        <w:pStyle w:val="Heading3"/>
      </w:pPr>
      <w:r>
        <w:t xml:space="preserve">C. Community Development in Marginalized Areas</w:t>
      </w:r>
    </w:p>
    <w:p>
      <w:pPr>
        <w:pStyle w:val="FirstParagraph"/>
      </w:pPr>
      <w:r>
        <w:t xml:space="preserve">In localities such as Bosa, Kennedy, and Usme,</w:t>
      </w:r>
      <w:r>
        <w:t xml:space="preserve"> </w:t>
      </w:r>
      <w:r>
        <w:rPr>
          <w:iCs/>
          <w:i/>
        </w:rPr>
        <w:t xml:space="preserve">Social Workers</w:t>
      </w:r>
      <w:r>
        <w:t xml:space="preserve"> </w:t>
      </w:r>
      <w:r>
        <w:t xml:space="preserve">engage directly with community leaders to strengthen social networks. They facilitate dialogue between neighbors to resolve conflicts related to noise, waste management, or public space usage. By empowering local leadership,</w:t>
      </w:r>
      <w:r>
        <w:rPr>
          <w:bCs/>
          <w:b/>
        </w:rPr>
        <w:t xml:space="preserve">Social Workers</w:t>
      </w:r>
      <w:r>
        <w:t xml:space="preserve"> </w:t>
      </w:r>
      <w:r>
        <w:t xml:space="preserve">in these Bogotá districts help build a sense of ownership over public resources, reducing crime rates and improving quality of life.</w:t>
      </w:r>
    </w:p>
    <w:bookmarkEnd w:id="26"/>
    <w:bookmarkEnd w:id="27"/>
    <w:bookmarkStart w:id="28" w:name="Xa0468f0a4f151f73194f9b629e2e01e56e19900"/>
    <w:p>
      <w:pPr>
        <w:pStyle w:val="Heading2"/>
      </w:pPr>
      <w:r>
        <w:t xml:space="preserve">V. Challenges Facing the Social Worker in Bogotá</w:t>
      </w:r>
    </w:p>
    <w:p>
      <w:pPr>
        <w:pStyle w:val="FirstParagraph"/>
      </w:pPr>
      <w:r>
        <w:t xml:space="preserve">Despite their importance,</w:t>
      </w:r>
      <w:r>
        <w:t xml:space="preserve"> </w:t>
      </w:r>
      <w:r>
        <w:rPr>
          <w:iCs/>
          <w:i/>
        </w:rPr>
        <w:t xml:space="preserve">Social Workers</w:t>
      </w:r>
      <w:r>
        <w:t xml:space="preserve"> </w:t>
      </w:r>
      <w:r>
        <w:t xml:space="preserve">in</w:t>
      </w:r>
      <w:r>
        <w:t xml:space="preserve"> </w:t>
      </w:r>
      <w:r>
        <w:rPr>
          <w:bCs/>
          <w:b/>
        </w:rPr>
        <w:t xml:space="preserve">Bogotá, Colombia</w:t>
      </w:r>
      <w:r>
        <w:t xml:space="preserve">, face significant professional challenges. Firstly, there is often a lack of recognition from other public institutions that view social work as secondary to medical or legal interventions. Secondly, the workload in Bogotá’s high-volume facilities leads to burnout among practitioners who are constantly exposed to human suffering without adequate institutional support.</w:t>
      </w:r>
    </w:p>
    <w:p>
      <w:pPr>
        <w:pStyle w:val="BodyText"/>
      </w:pPr>
      <w:r>
        <w:t xml:space="preserve">Additionally, the rapid changes in technology require continuous upskilling for</w:t>
      </w:r>
      <w:r>
        <w:t xml:space="preserve"> </w:t>
      </w:r>
      <w:r>
        <w:rPr>
          <w:iCs/>
          <w:i/>
        </w:rPr>
        <w:t xml:space="preserve">Social Workers</w:t>
      </w:r>
      <w:r>
        <w:t xml:space="preserve">. The digitization of records and services in Colombia demands that professionals adapt quickly, a transition that is often difficult for older practitioners or those from lower socioeconomic backgrounds who may lack digital literacy.</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Social Worker</w:t>
      </w:r>
      <w:r>
        <w:t xml:space="preserve"> </w:t>
      </w:r>
      <w:r>
        <w:t xml:space="preserve">plays an indispensable role in the social architecture of</w:t>
      </w:r>
      <w:r>
        <w:t xml:space="preserve"> </w:t>
      </w:r>
      <w:r>
        <w:rPr>
          <w:bCs/>
          <w:b/>
        </w:rPr>
        <w:t xml:space="preserve">Bogotá, Colombia</w:t>
      </w:r>
      <w:r>
        <w:t xml:space="preserve">. Far from being peripheral figures, they are central actors in the implementation of social policy and the protection of fundamental human rights. Through their work in health management, family welfare, and community development,</w:t>
      </w:r>
      <w:r>
        <w:rPr>
          <w:iCs/>
          <w:i/>
        </w:rPr>
        <w:t xml:space="preserve">Social Workers</w:t>
      </w:r>
      <w:r>
        <w:t xml:space="preserve"> </w:t>
      </w:r>
      <w:r>
        <w:t xml:space="preserve">help navigate the complexities of urban inequality.</w:t>
      </w:r>
    </w:p>
    <w:p>
      <w:pPr>
        <w:pStyle w:val="BodyText"/>
      </w:pPr>
      <w:r>
        <w:t xml:space="preserve">The legal frameworks governing their practice have evolved to meet contemporary needs, yet operational challenges remain. For</w:t>
      </w:r>
      <w:r>
        <w:t xml:space="preserve"> </w:t>
      </w:r>
      <w:r>
        <w:rPr>
          <w:bCs/>
          <w:b/>
        </w:rPr>
        <w:t xml:space="preserve">Bogotá</w:t>
      </w:r>
      <w:r>
        <w:t xml:space="preserve"> </w:t>
      </w:r>
      <w:r>
        <w:t xml:space="preserve">to achieve sustainable social development, it is imperative that government entities and civil society continue to recognize and resource the profession. By empowering</w:t>
      </w:r>
      <w:r>
        <w:t xml:space="preserve"> </w:t>
      </w:r>
      <w:r>
        <w:rPr>
          <w:iCs/>
          <w:i/>
        </w:rPr>
        <w:t xml:space="preserve">Social Workers</w:t>
      </w:r>
      <w:r>
        <w:t xml:space="preserve">, Colombia strengthens its capacity to foster a more equitable, inclusive, and resilient capital city.</w:t>
      </w:r>
    </w:p>
    <w:bookmarkEnd w:id="29"/>
    <w:bookmarkStart w:id="30" w:name="vii.-references-representative"/>
    <w:p>
      <w:pPr>
        <w:pStyle w:val="Heading2"/>
      </w:pPr>
      <w:r>
        <w:t xml:space="preserve">VII. References (Representative)</w:t>
      </w:r>
    </w:p>
    <w:p>
      <w:pPr>
        <w:pStyle w:val="FirstParagraph"/>
      </w:pPr>
      <w:r>
        <w:t xml:space="preserve">1. Ministry of Health and Social Protection of Colombia. (2013). "Health Reform in Colombia: A Review." Bogotá: Government Printing Office.</w:t>
      </w:r>
    </w:p>
    <w:p>
      <w:pPr>
        <w:pStyle w:val="BodyText"/>
      </w:pPr>
      <w:r>
        <w:t xml:space="preserve">2. National Administrative Department of Statistics (DANE). "Demographic and Social Indicators in Bogotá." Annual Reports, 2018-2023.</w:t>
      </w:r>
    </w:p>
    <w:p>
      <w:pPr>
        <w:pStyle w:val="BodyText"/>
      </w:pPr>
      <w:r>
        <w:t xml:space="preserve">3. Law 100 of July 23, 1993. "By which a social security system is established within the framework of fiscal responsibility." Congress of Colombia.</w:t>
      </w:r>
    </w:p>
    <w:p>
      <w:pPr>
        <w:pStyle w:val="BodyText"/>
      </w:pPr>
      <w:r>
        <w:t xml:space="preserve">4. Colombian Federation of Social Work (FEDESOCIAL). "Professional Standards and Ethics in Urban Contexts." Bogotá,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Colombia Bogotá: A Research Paper</dc:title>
  <dc:creator/>
  <dc:language>en</dc:language>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