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Germany</w:t>
      </w:r>
      <w:r>
        <w:t xml:space="preserve"> </w:t>
      </w:r>
      <w:r>
        <w:t xml:space="preserve">Munich</w:t>
      </w:r>
    </w:p>
    <w:bookmarkStart w:id="30" w:name="X8c8a99c71f2055f3bff2e7e09c395d3cd872f34"/>
    <w:p>
      <w:pPr>
        <w:pStyle w:val="Heading1"/>
      </w:pPr>
      <w:r>
        <w:t xml:space="preserve">The Role, Challenges, and Evolution of Social Work in Germany Munich</w:t>
      </w:r>
    </w:p>
    <w:p>
      <w:pPr>
        <w:pStyle w:val="FirstParagraph"/>
      </w:pPr>
      <w:r>
        <w:rPr>
          <w:bCs/>
          <w:b/>
        </w:rPr>
        <w:t xml:space="preserve">Abstract:</w:t>
      </w:r>
      <w:r>
        <w:br/>
      </w:r>
      <w:r>
        <w:t xml:space="preserve">This research paper explores the critical function of the</w:t>
      </w:r>
      <w:r>
        <w:t xml:space="preserve"> </w:t>
      </w:r>
      <w:r>
        <w:rPr>
          <w:bCs/>
          <w:b/>
        </w:rPr>
        <w:t xml:space="preserve">Social Worker</w:t>
      </w:r>
      <w:r>
        <w:t xml:space="preserve">Germany Munich. As one of Europe’s most affluent yet rapidly gentrifying cities, Munich presents unique challenges for social services. This document examines the legal frameworks, specific local needs, professional standards, and future trajectories of social work in this metropolitan hub.</w:t>
      </w:r>
    </w:p>
    <w:bookmarkStart w:id="20" w:name="introduction"/>
    <w:p>
      <w:pPr>
        <w:pStyle w:val="Heading2"/>
      </w:pPr>
      <w:r>
        <w:t xml:space="preserve">1. Introduction</w:t>
      </w:r>
    </w:p>
    <w:p>
      <w:pPr>
        <w:pStyle w:val="FirstParagraph"/>
      </w:pPr>
      <w:r>
        <w:t xml:space="preserve">In the modern welfare state of</w:t>
      </w:r>
      <w:r>
        <w:t xml:space="preserve"> </w:t>
      </w:r>
      <w:r>
        <w:rPr>
          <w:bCs/>
          <w:b/>
        </w:rPr>
        <w:t xml:space="preserve">Germany</w:t>
      </w:r>
      <w:r>
        <w:t xml:space="preserve">, social work serves as a pivotal mechanism for ensuring social cohesion and protecting vulnerable populations. Nowhere is this role more intricate than in Munich, the capital of Bavaria. As a major economic hub and one of the most expensive cities in Germany, Munich attracts a diverse demographic ranging from international students and skilled migrants to long-term residents facing housing insecurity. This</w:t>
      </w:r>
      <w:r>
        <w:t xml:space="preserve"> </w:t>
      </w:r>
      <w:r>
        <w:rPr>
          <w:bCs/>
          <w:b/>
        </w:rPr>
        <w:t xml:space="preserve">Research Paper</w:t>
      </w:r>
      <w:r>
        <w:t xml:space="preserve"> </w:t>
      </w:r>
      <w:r>
        <w:t xml:space="preserve">aims to dissect the operational dynamics of social work within this specific context, highlighting how local municipal policies intersect with federal German laws to address issues such as homelessness, integration, and youth welfare.</w:t>
      </w:r>
    </w:p>
    <w:bookmarkEnd w:id="20"/>
    <w:bookmarkStart w:id="21" w:name="Xf5dedbf7d0e5c39392f4dfa5461b27252ce8e12"/>
    <w:p>
      <w:pPr>
        <w:pStyle w:val="Heading2"/>
      </w:pPr>
      <w:r>
        <w:t xml:space="preserve">2. The Legal and Structural Framework in Munich</w:t>
      </w:r>
    </w:p>
    <w:p>
      <w:pPr>
        <w:pStyle w:val="FirstParagraph"/>
      </w:pPr>
      <w:r>
        <w:t xml:space="preserve">The practice of a</w:t>
      </w:r>
      <w:r>
        <w:t xml:space="preserve"> </w:t>
      </w:r>
      <w:r>
        <w:rPr>
          <w:bCs/>
          <w:b/>
        </w:rPr>
        <w:t xml:space="preserve">Social Worker</w:t>
      </w:r>
      <w:r>
        <w:t xml:space="preserve"> </w:t>
      </w:r>
      <w:r>
        <w:t xml:space="preserve">in Germany is governed by a robust legal framework primarily defined by the Social Code (Sozialgesetzbuch or SGB). Specifically, Book VIII (SGB VIII) outlines children and youth services, while Book XII (SGB XII) addresses basic security for old age and reduced earning capacity. In</w:t>
      </w:r>
      <w:r>
        <w:t xml:space="preserve"> </w:t>
      </w:r>
      <w:r>
        <w:rPr>
          <w:bCs/>
          <w:b/>
        </w:rPr>
        <w:t xml:space="preserve">Germany Munich</w:t>
      </w:r>
      <w:r>
        <w:t xml:space="preserve">, these federal mandates are implemented through local agencies such as the Stadtjugendamt (Youth Office) and various non-governmental organizations (NGOs).</w:t>
      </w:r>
    </w:p>
    <w:p>
      <w:pPr>
        <w:pStyle w:val="BodyText"/>
      </w:pPr>
      <w:r>
        <w:t xml:space="preserve">Munich’s approach is characterized by a strong public-private partnership. While the city government provides funding and oversight, many services are delivered by recognized free carriers of social welfare, such as Caritas and Diakonie. These organizations operate under strict guidelines to ensure that the</w:t>
      </w:r>
      <w:r>
        <w:t xml:space="preserve"> </w:t>
      </w:r>
      <w:r>
        <w:rPr>
          <w:bCs/>
          <w:b/>
        </w:rPr>
        <w:t xml:space="preserve">Social Worker</w:t>
      </w:r>
      <w:r>
        <w:t xml:space="preserve"> </w:t>
      </w:r>
      <w:r>
        <w:t xml:space="preserve">maintains professional autonomy while adhering to state-mandated quality standards.</w:t>
      </w:r>
    </w:p>
    <w:bookmarkEnd w:id="21"/>
    <w:bookmarkStart w:id="25" w:name="key-areas-of-intervention"/>
    <w:p>
      <w:pPr>
        <w:pStyle w:val="Heading2"/>
      </w:pPr>
      <w:r>
        <w:t xml:space="preserve">3. Key Areas of Intervention</w:t>
      </w:r>
    </w:p>
    <w:bookmarkStart w:id="22" w:name="housing-and-homelessness-support"/>
    <w:p>
      <w:pPr>
        <w:pStyle w:val="Heading3"/>
      </w:pPr>
      <w:r>
        <w:t xml:space="preserve">3.1 Housing and Homelessness Support</w:t>
      </w:r>
    </w:p>
    <w:p>
      <w:pPr>
        <w:pStyle w:val="FirstParagraph"/>
      </w:pPr>
      <w:r>
        <w:t xml:space="preserve">Housing is perhaps the most pressing issue in</w:t>
      </w:r>
      <w:r>
        <w:t xml:space="preserve"> </w:t>
      </w:r>
      <w:r>
        <w:rPr>
          <w:bCs/>
          <w:b/>
        </w:rPr>
        <w:t xml:space="preserve">Munich</w:t>
      </w:r>
      <w:r>
        <w:t xml:space="preserve">. With rent prices among the highest in Europe, low-income families and single individuals are disproportionately affected. Social workers in Munich play a crucial role in mediation between landlords, tenants, and debt counseling services. They assist individuals in navigating the complex bureaucracy required to access social housing or emergency shelters. For homeless populations, mobile social work teams provide on-the-ground support, focusing not only on immediate shelter but also on long-term reintegration strategies.</w:t>
      </w:r>
    </w:p>
    <w:bookmarkEnd w:id="22"/>
    <w:bookmarkStart w:id="23" w:name="migration-and-integration"/>
    <w:p>
      <w:pPr>
        <w:pStyle w:val="Heading3"/>
      </w:pPr>
      <w:r>
        <w:t xml:space="preserve">3.2 Migration and Integration</w:t>
      </w:r>
    </w:p>
    <w:p>
      <w:pPr>
        <w:pStyle w:val="FirstParagraph"/>
      </w:pPr>
      <w:r>
        <w:t xml:space="preserve">Munich has a significant migrant population. Social workers are instrumental in facilitating integration processes, which include language acquisition support, cultural orientation, and assistance with bureaucratic hurdles such as visa renewals or citizenship applications. In the context of</w:t>
      </w:r>
      <w:r>
        <w:t xml:space="preserve"> </w:t>
      </w:r>
      <w:r>
        <w:rPr>
          <w:bCs/>
          <w:b/>
        </w:rPr>
        <w:t xml:space="preserve">Germany</w:t>
      </w:r>
      <w:r>
        <w:t xml:space="preserve">, where integration is seen as a two-way process involving both the state and the individual,</w:t>
      </w:r>
      <w:r>
        <w:t xml:space="preserve"> </w:t>
      </w:r>
      <w:r>
        <w:rPr>
          <w:bCs/>
          <w:b/>
        </w:rPr>
        <w:t xml:space="preserve">Social Worker</w:t>
      </w:r>
      <w:r>
        <w:t xml:space="preserve"> </w:t>
      </w:r>
      <w:r>
        <w:t xml:space="preserve">professionals act as cultural bridges. They help navigate the intersection of German legal requirements and diverse cultural backgrounds, particularly in cases involving asylum seekers.</w:t>
      </w:r>
    </w:p>
    <w:bookmarkEnd w:id="23"/>
    <w:bookmarkStart w:id="24" w:name="youth-welfare-and-education"/>
    <w:p>
      <w:pPr>
        <w:pStyle w:val="Heading3"/>
      </w:pPr>
      <w:r>
        <w:t xml:space="preserve">3.4 Youth Welfare and Education</w:t>
      </w:r>
    </w:p>
    <w:p>
      <w:pPr>
        <w:pStyle w:val="FirstParagraph"/>
      </w:pPr>
      <w:r>
        <w:t xml:space="preserve">The youth welfare system in Munich is proactive rather than purely reactive. Social workers collaborate closely with schools to identify early signs of bullying, neglect, or educational disengagement. Programs such as "Münchner Jugendsozialarbeit" aim to support young people who are at risk of dropping out of school or entering the criminal justice system. These interventions focus on strengthening family structures and providing alternative educational pathways.</w:t>
      </w:r>
    </w:p>
    <w:bookmarkEnd w:id="24"/>
    <w:bookmarkEnd w:id="25"/>
    <w:bookmarkStart w:id="26" w:name="X66b4b5f912b230f8d886baf4f4cd1c16e9f7f8e"/>
    <w:p>
      <w:pPr>
        <w:pStyle w:val="Heading2"/>
      </w:pPr>
      <w:r>
        <w:t xml:space="preserve">4. Professional Challenges and Ethical Considerations</w:t>
      </w:r>
    </w:p>
    <w:p>
      <w:pPr>
        <w:pStyle w:val="FirstParagraph"/>
      </w:pPr>
      <w:r>
        <w:t xml:space="preserve">The practice of social work in</w:t>
      </w:r>
      <w:r>
        <w:t xml:space="preserve"> </w:t>
      </w:r>
      <w:r>
        <w:rPr>
          <w:bCs/>
          <w:b/>
        </w:rPr>
        <w:t xml:space="preserve">Munich</w:t>
      </w:r>
      <w:r>
        <w:t xml:space="preserve"> </w:t>
      </w:r>
      <w:r>
        <w:t xml:space="preserve">is not without its challenges. One significant issue is bureaucratic overload. Social workers often spend a substantial amount of time on documentation required by the state, which can detract from direct client interaction. This administrative burden is a common critique in German social work discourse.</w:t>
      </w:r>
    </w:p>
    <w:p>
      <w:pPr>
        <w:pStyle w:val="BodyText"/>
      </w:pPr>
      <w:r>
        <w:t xml:space="preserve">Furthermore, ethical dilemmas frequently arise regarding the balance between paternalistic state intervention and individual liberty. For instance, when removing children from homes due to suspected neglect,</w:t>
      </w:r>
      <w:r>
        <w:t xml:space="preserve"> </w:t>
      </w:r>
      <w:r>
        <w:rPr>
          <w:bCs/>
          <w:b/>
        </w:rPr>
        <w:t xml:space="preserve">Social Worker</w:t>
      </w:r>
      <w:r>
        <w:t xml:space="preserve"> </w:t>
      </w:r>
      <w:r>
        <w:t xml:space="preserve">professionals must adhere strictly to legal protocols while maintaining empathy and trust with the family. In</w:t>
      </w:r>
      <w:r>
        <w:t xml:space="preserve"> </w:t>
      </w:r>
      <w:r>
        <w:rPr>
          <w:bCs/>
          <w:b/>
        </w:rPr>
        <w:t xml:space="preserve">Germany Munich</w:t>
      </w:r>
      <w:r>
        <w:t xml:space="preserve">, where community ties are strong, maintaining confidentiality while ensuring public safety requires nuanced professional judgment.</w:t>
      </w:r>
    </w:p>
    <w:bookmarkEnd w:id="26"/>
    <w:bookmarkStart w:id="27" w:name="X67a5ccf0cf54a2e780c73209cbf7d2040ce662b"/>
    <w:p>
      <w:pPr>
        <w:pStyle w:val="Heading2"/>
      </w:pPr>
      <w:r>
        <w:t xml:space="preserve">5. The Impact of Gentrification on Social Work Practices</w:t>
      </w:r>
    </w:p>
    <w:p>
      <w:pPr>
        <w:pStyle w:val="FirstParagraph"/>
      </w:pPr>
      <w:r>
        <w:t xml:space="preserve">Gentrification in districts such as Neuperlach or Haidhausen has transformed the social fabric of</w:t>
      </w:r>
      <w:r>
        <w:t xml:space="preserve"> </w:t>
      </w:r>
      <w:r>
        <w:rPr>
          <w:bCs/>
          <w:b/>
        </w:rPr>
        <w:t xml:space="preserve">Munich</w:t>
      </w:r>
      <w:r>
        <w:t xml:space="preserve">. As property values rise, marginalized groups are often displaced to outer boroughs or neighboring towns. This spatial shift complicates the work of local social workers who must now navigate fragmented communities. It requires a mobile and flexible approach to service delivery, emphasizing digital tools for communication and coordination among dispersed populations.</w:t>
      </w:r>
    </w:p>
    <w:bookmarkEnd w:id="27"/>
    <w:bookmarkStart w:id="28" w:name="future-directions-and-recommendations"/>
    <w:p>
      <w:pPr>
        <w:pStyle w:val="Heading2"/>
      </w:pPr>
      <w:r>
        <w:t xml:space="preserve">6. Future Directions and Recommendations</w:t>
      </w:r>
    </w:p>
    <w:p>
      <w:pPr>
        <w:pStyle w:val="FirstParagraph"/>
      </w:pPr>
      <w:r>
        <w:t xml:space="preserve">To enhance the effectiveness of social work in</w:t>
      </w:r>
      <w:r>
        <w:t xml:space="preserve"> </w:t>
      </w:r>
      <w:r>
        <w:rPr>
          <w:bCs/>
          <w:b/>
        </w:rPr>
        <w:t xml:space="preserve">Germany Munich</w:t>
      </w:r>
      <w:r>
        <w:t xml:space="preserve">, several strategic directions are recommended:</w:t>
      </w:r>
    </w:p>
    <w:p>
      <w:pPr>
        <w:numPr>
          <w:ilvl w:val="0"/>
          <w:numId w:val="1001"/>
        </w:numPr>
        <w:pStyle w:val="Compact"/>
      </w:pPr>
      <w:r>
        <w:rPr>
          <w:bCs/>
          <w:b/>
        </w:rPr>
        <w:t xml:space="preserve">Digitalization:</w:t>
      </w:r>
      <w:r>
        <w:br/>
      </w:r>
      <w:r>
        <w:t xml:space="preserve">The integration of digital case management systems can reduce administrative burdens, allowing</w:t>
      </w:r>
      <w:r>
        <w:t xml:space="preserve"> </w:t>
      </w:r>
      <w:r>
        <w:rPr>
          <w:bCs/>
          <w:b/>
        </w:rPr>
        <w:t xml:space="preserve">Social Worker</w:t>
      </w:r>
      <w:r>
        <w:t xml:space="preserve">s to focus more on client care.</w:t>
      </w:r>
    </w:p>
    <w:p>
      <w:pPr>
        <w:numPr>
          <w:ilvl w:val="0"/>
          <w:numId w:val="1001"/>
        </w:numPr>
        <w:pStyle w:val="Compact"/>
      </w:pPr>
      <w:r>
        <w:rPr>
          <w:bCs/>
          <w:b/>
        </w:rPr>
        <w:t xml:space="preserve">Cultural Competency Training:</w:t>
      </w:r>
      <w:r>
        <w:br/>
      </w:r>
      <w:r>
        <w:t xml:space="preserve">Given the growing diversity of Munich’s population, ongoing training in intercultural communication is essential.</w:t>
      </w:r>
    </w:p>
    <w:p>
      <w:pPr>
        <w:numPr>
          <w:ilvl w:val="0"/>
          <w:numId w:val="1001"/>
        </w:numPr>
        <w:pStyle w:val="Compact"/>
      </w:pPr>
      <w:r>
        <w:rPr>
          <w:bCs/>
          <w:b/>
        </w:rPr>
        <w:t xml:space="preserve">Housing-First Initiatives:</w:t>
      </w:r>
      <w:r>
        <w:br/>
      </w:r>
      <w:r>
        <w:t xml:space="preserve">Policies should prioritize providing stable housing before addressing other social issues, a model that has shown success in other European cities and is being piloted in parts of Munich.</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Social Worker</w:t>
      </w:r>
      <w:r>
        <w:t xml:space="preserve"> </w:t>
      </w:r>
      <w:r>
        <w:t xml:space="preserve">in</w:t>
      </w:r>
      <w:r>
        <w:t xml:space="preserve"> </w:t>
      </w:r>
      <w:r>
        <w:rPr>
          <w:bCs/>
          <w:b/>
        </w:rPr>
        <w:t xml:space="preserve">Munich</w:t>
      </w:r>
      <w:r>
        <w:t xml:space="preserve">, Bavaria, operates within a sophisticated welfare system that balances federal mandates with local needs. The city’s economic prosperity brings unique challenges related to cost of living and social inequality, requiring social workers to be adaptable, culturally sensitive, and legally proficient. As</w:t>
      </w:r>
      <w:r>
        <w:t xml:space="preserve"> </w:t>
      </w:r>
      <w:r>
        <w:rPr>
          <w:bCs/>
          <w:b/>
        </w:rPr>
        <w:t xml:space="preserve">Germany</w:t>
      </w:r>
      <w:r>
        <w:t xml:space="preserve"> </w:t>
      </w:r>
      <w:r>
        <w:t xml:space="preserve">continues to evolve demographically and economically, the role of social work will remain central to maintaining social justice and cohesion in Munich’s future.</w:t>
      </w:r>
    </w:p>
    <w:p>
      <w:pPr>
        <w:pStyle w:val="BodyText"/>
      </w:pPr>
      <w:r>
        <w:rPr>
          <w:bCs/>
          <w:b/>
        </w:rPr>
        <w:t xml:space="preserve">Keywords:</w:t>
      </w:r>
      <w:r>
        <w:br/>
      </w:r>
      <w:r>
        <w:t xml:space="preserve">Social Worker, Germany Munich, Social Work Research Paper, Welfare State, Integration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Social Work in Germany Munich</dc:title>
  <dc:creator/>
  <dc:language>en</dc:language>
  <cp:keywords/>
  <dcterms:created xsi:type="dcterms:W3CDTF">2026-07-29T17:31:19Z</dcterms:created>
  <dcterms:modified xsi:type="dcterms:W3CDTF">2026-07-29T17:31:19Z</dcterms:modified>
</cp:coreProperties>
</file>

<file path=docProps/custom.xml><?xml version="1.0" encoding="utf-8"?>
<Properties xmlns="http://schemas.openxmlformats.org/officeDocument/2006/custom-properties" xmlns:vt="http://schemas.openxmlformats.org/officeDocument/2006/docPropsVTypes"/>
</file>