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7b57c840826f7eff2b67a73add450b07037ca33"/>
    <w:p>
      <w:pPr>
        <w:pStyle w:val="Heading1"/>
      </w:pPr>
      <w:r>
        <w:t xml:space="preserve">The Role and Impact of Social Workers in New Zealand Auckland</w:t>
      </w:r>
    </w:p>
    <w:p>
      <w:pPr>
        <w:pStyle w:val="FirstParagraph"/>
      </w:pPr>
      <w:r>
        <w:rPr>
          <w:bCs/>
          <w:b/>
        </w:rPr>
        <w:t xml:space="preserve">A Research Paper on Practice, Policy, and Cultural Competency</w:t>
      </w:r>
    </w:p>
    <w:p>
      <w:pPr>
        <w:pStyle w:val="BodyText"/>
      </w:pPr>
      <w:r>
        <w:rPr>
          <w:u w:val="single"/>
          <w:bCs/>
          <w:b/>
        </w:rPr>
        <w:t xml:space="preserve">Abstract:</w:t>
      </w:r>
      <w:r>
        <w:br/>
      </w:r>
      <w:r>
        <w:t xml:space="preserve">This research paper examines the critical role of Social Worker professionals within the specific socio-cultural and geographic context of New Zealand Auckland. As Auckland serves as the most populous urban center in Aotearoa New Zealand, it presents a unique convergence of diverse demographic needs, complex social inequalities, and distinct cultural obligations under Te Tiriti o Waitangi. This document explores the legislative framework governing Social Worker practice in New Zealand, the integration of Tikanga Māori into mainstream service delivery, and the specific challenges faced by practitioners in Auckland’s high-density urban environment. The paper argues that effective Social Worker intervention in New Zealand Auckland requires a hybrid model of Western clinical social work principles and Indigenous holistic care methods to address systemic disparities effectively.</w:t>
      </w:r>
    </w:p>
    <w:p>
      <w:pPr>
        <w:pStyle w:val="BodyText"/>
      </w:pPr>
      <w:r>
        <w:rPr>
          <w:bCs/>
          <w:b/>
        </w:rPr>
        <w:t xml:space="preserve">Keywords:</w:t>
      </w:r>
      <w:r>
        <w:t xml:space="preserve"> </w:t>
      </w:r>
      <w:r>
        <w:t xml:space="preserve">Social Worker, New Zealand, Auckland, Te Tiriti o Waitangi, Tikanga Māori, Child Welfare (Oranga Tamariki), Urban Poverty.</w:t>
      </w:r>
    </w:p>
    <w:bookmarkStart w:id="20" w:name="i.-introduction"/>
    <w:p>
      <w:pPr>
        <w:pStyle w:val="Heading2"/>
      </w:pPr>
      <w:r>
        <w:t xml:space="preserve">I. Introduction</w:t>
      </w:r>
    </w:p>
    <w:p>
      <w:pPr>
        <w:pStyle w:val="FirstParagraph"/>
      </w:pPr>
      <w:r>
        <w:t xml:space="preserve">In the landscape of modern social services in Aotearoa New Zealand, the profession of Social Worker stands as a pivotal mechanism for advocating individual rights and community well-being. However, the practice of a Social Worker is not monolithic; it is deeply influenced by local legislative structures and cultural imperatives. This paper focuses specifically on New Zealand Auckland, a city characterized by its rapid growth, multicultural diversity, and significant socioeconomic disparities. For the Social Worker operating in this region, the mandate extends beyond traditional casework to include active participation in decolonizing social services and upholding indigenous sovereignty.</w:t>
      </w:r>
    </w:p>
    <w:p>
      <w:pPr>
        <w:pStyle w:val="BodyText"/>
      </w:pPr>
      <w:r>
        <w:t xml:space="preserve">Auckland is home to the largest concentration of Māori people in New Zealand, as well as significant populations from Pacific Islands and Asian communities. This demographic reality demands that a Social Worker possess not only clinical skills but also profound cultural competency. The intersection of these diverse identities creates a complex service environment where traditional Western models of social work often fail to resonate with the clients they serve. Therefore, understanding the specific context of New Zealand Auckland is essential for any analysis of contemporary social work practice.</w:t>
      </w:r>
    </w:p>
    <w:bookmarkEnd w:id="20"/>
    <w:bookmarkStart w:id="22" w:name="X7a3241e9d82fdb08fc78d5db50bc1536d174335"/>
    <w:p>
      <w:pPr>
        <w:pStyle w:val="Heading2"/>
      </w:pPr>
      <w:r>
        <w:t xml:space="preserve">II. Legislative and Professional Framework</w:t>
      </w:r>
    </w:p>
    <w:p>
      <w:pPr>
        <w:pStyle w:val="FirstParagraph"/>
      </w:pPr>
      <w:r>
        <w:t xml:space="preserve">The practice of a Social Worker in New Zealand is strictly regulated by the Social Workers Registration Board (SWRB). Established under the Social Workers Registration Act 2005, this board ensures that all practitioners meet rigorous standards of ethical conduct and professional competence. For a Social Worker practicing in New Zealand Auckland, adherence to these national standards is mandatory. However, these standards are interpreted through the lens of local legislation that profoundly impacts service delivery.</w:t>
      </w:r>
    </w:p>
    <w:bookmarkStart w:id="21" w:name="X728b5daff7276da5761011e90039b88b5467644"/>
    <w:p>
      <w:pPr>
        <w:pStyle w:val="Heading3"/>
      </w:pPr>
      <w:r>
        <w:t xml:space="preserve">A. Te Tiriti o Waitangi as a Practice Guide</w:t>
      </w:r>
    </w:p>
    <w:p>
      <w:pPr>
        <w:pStyle w:val="FirstParagraph"/>
      </w:pPr>
      <w:r>
        <w:t xml:space="preserve">The most significant legislative and cultural framework for a Social Worker in New Zealand Auckland is Te Tiriti o Waitangi (The Treaty of Waitangi). Signed in 1840 between the British Crown and Māori Chiefs, the Treaty is increasingly viewed not just as a historical document, but as a living constitution that guides public policy. For the Social Worker, this means operating under three core principles: Partnership, Participation, and Protection.</w:t>
      </w:r>
    </w:p>
    <w:p>
      <w:pPr>
        <w:pStyle w:val="BodyText"/>
      </w:pPr>
      <w:r>
        <w:t xml:space="preserve">In Auckland specifically, where urban Māori populations are distinct from their rural iwi (tribal) counterparts, the principle of Partnership requires Social Workers to collaborate with local Māori authorities and community leaders. It is no longer sufficient for a Social Worker to simply refer a client to cultural services; they must integrate Tikanga Māori (Māori customs and protocols) into their daily case management. This includes recognizing the importance of whakapapa (genealogy), manaakitanga (hospitality and care), and kaitiakitanga (guardianship).</w:t>
      </w:r>
    </w:p>
    <w:bookmarkEnd w:id="21"/>
    <w:bookmarkEnd w:id="22"/>
    <w:bookmarkStart w:id="26" w:name="Xccc533c3b8a27bf2ceb154b07fa8d6c3519e9d5"/>
    <w:p>
      <w:pPr>
        <w:pStyle w:val="Heading2"/>
      </w:pPr>
      <w:r>
        <w:t xml:space="preserve">III. Key Practice Areas in New Zealand Auckland</w:t>
      </w:r>
    </w:p>
    <w:p>
      <w:pPr>
        <w:pStyle w:val="FirstParagraph"/>
      </w:pPr>
      <w:r>
        <w:t xml:space="preserve">The demand for Social Worker services in New Zealand Auckland is driven by several key sectors, each presenting unique challenges.</w:t>
      </w:r>
    </w:p>
    <w:bookmarkStart w:id="23" w:name="X36e129a95a13f24016f23d3d4bc573bd697bc80"/>
    <w:p>
      <w:pPr>
        <w:pStyle w:val="Heading3"/>
      </w:pPr>
      <w:r>
        <w:t xml:space="preserve">A. Child and Youth Welfare (Oranga Tamariki)</w:t>
      </w:r>
    </w:p>
    <w:p>
      <w:pPr>
        <w:pStyle w:val="FirstParagraph"/>
      </w:pPr>
      <w:r>
        <w:t xml:space="preserve">The Oranga Tamariki Act 1989 represents a paradigm shift in how a Social Worker approaches child welfare. The Act prioritizes the placement of children with their extended family, hapū (sub-tribe), or iwi whenever possible. For the Social Worker in Auckland, this requires deep knowledge of local whānau networks. Given that Māori children are disproportionately represented in the care system, a Social Worker must actively resist systemic biases that have historically led to higher removal rates. The focus has shifted from punitive intervention to early family support, requiring Social Workers to engage proactively with communities before crises occur.</w:t>
      </w:r>
    </w:p>
    <w:bookmarkEnd w:id="23"/>
    <w:bookmarkStart w:id="24" w:name="b.-mental-health-and-addiction-services"/>
    <w:p>
      <w:pPr>
        <w:pStyle w:val="Heading3"/>
      </w:pPr>
      <w:r>
        <w:t xml:space="preserve">B. Mental Health and Addiction Services</w:t>
      </w:r>
    </w:p>
    <w:p>
      <w:pPr>
        <w:pStyle w:val="FirstParagraph"/>
      </w:pPr>
      <w:r>
        <w:t xml:space="preserve">Auckland’s health infrastructure is anchored by major centers such as the Auckland District Health Board (now part of Te Whatu Ora - Health New Zealand). Within this system, Social Workers play a crucial role in mental health assessment and discharge planning. The high prevalence of alcohol and drug dependency in certain urban areas necessitates that a Social Worker possess specialized knowledge in harm reduction strategies. Furthermore, there is a growing recognition that trauma resulting from colonization continues to affect the mental well-being of Māori and Pacific communities, requiring trauma-informed care approaches.</w:t>
      </w:r>
    </w:p>
    <w:bookmarkEnd w:id="24"/>
    <w:bookmarkStart w:id="25" w:name="c.-homelessness-and-housing-crisis"/>
    <w:p>
      <w:pPr>
        <w:pStyle w:val="Heading3"/>
      </w:pPr>
      <w:r>
        <w:t xml:space="preserve">C. Homelessness and Housing Crisis</w:t>
      </w:r>
    </w:p>
    <w:p>
      <w:pPr>
        <w:pStyle w:val="FirstParagraph"/>
      </w:pPr>
      <w:r>
        <w:t xml:space="preserve">New Zealand Auckland is currently facing a severe housing crisis. Skyrocketing rents and property prices have led to increased rates of homelessness among vulnerable populations, including youth aging out of care and elderly individuals on fixed incomes. The Social Worker in this context often functions as an advocate within the welfare system, navigating complex eligibility criteria for state housing and emergency accommodation. This role highlights the macro-level function of social work: advocating for policy changes that address the root causes of poverty rather than merely managing its symptoms.</w:t>
      </w:r>
    </w:p>
    <w:bookmarkEnd w:id="25"/>
    <w:bookmarkEnd w:id="26"/>
    <w:bookmarkStart w:id="27" w:name="Xa58fc780cdf6de776bb30613ce5b817d82331ee"/>
    <w:p>
      <w:pPr>
        <w:pStyle w:val="Heading2"/>
      </w:pPr>
      <w:r>
        <w:t xml:space="preserve">IV. Challenges Facing Social Workers in Auckland</w:t>
      </w:r>
    </w:p>
    <w:p>
      <w:pPr>
        <w:pStyle w:val="FirstParagraph"/>
      </w:pPr>
      <w:r>
        <w:t xml:space="preserve">Despite a supportive legislative framework, Social Workers in New Zealand Auckland face significant operational challenges. Resource constraints are prevalent across all public health and social service sectors. High caseloads can limit the time a Social Worker has for meaningful engagement with clients, potentially undermining the relationship-based practice model that is central to social work ethics.</w:t>
      </w:r>
    </w:p>
    <w:p>
      <w:pPr>
        <w:pStyle w:val="BodyText"/>
      </w:pPr>
      <w:r>
        <w:t xml:space="preserve">Additionally, cultural safety remains a point of tension. While training in Tikanga Māori is increasingly standard, some practitioners still struggle to move beyond tokenistic gestures to genuine partnership. There is also the challenge of serving non-Māori Pacific and Asian communities who may have distinct cultural expectations that differ from both Pākehā (New Zealand European) and Māori frameworks. A Social Worker must therefore be adaptable, recognizing that "cultural competency" is not a one-size-fits-all concept.</w:t>
      </w:r>
    </w:p>
    <w:bookmarkEnd w:id="27"/>
    <w:bookmarkStart w:id="28" w:name="v.-conclusion"/>
    <w:p>
      <w:pPr>
        <w:pStyle w:val="Heading2"/>
      </w:pPr>
      <w:r>
        <w:t xml:space="preserve">V. Conclusion</w:t>
      </w:r>
    </w:p>
    <w:p>
      <w:pPr>
        <w:pStyle w:val="FirstParagraph"/>
      </w:pPr>
      <w:r>
        <w:t xml:space="preserve">In conclusion, the role of the Social Worker in New Zealand Auckland is multifaceted and deeply contextual. It requires a practitioner who is legally compliant with SWRB standards, culturally fluent in Te Tiriti o Waitangi principles, and responsive to the urgent socio-economic needs of a rapidly growing urban center. The future effectiveness of social work in this region depends on the ability of professionals to bridge the gap between Western clinical expertise and Indigenous holistic care models. By prioritizing partnership with Māori communities and addressing structural inequalities, Social Workers can play a transformative role in enhancing social justice and well-being across New Zealand Auckland.</w:t>
      </w:r>
    </w:p>
    <w:bookmarkEnd w:id="28"/>
    <w:bookmarkStart w:id="29" w:name="references"/>
    <w:p>
      <w:pPr>
        <w:pStyle w:val="Heading2"/>
      </w:pPr>
      <w:r>
        <w:t xml:space="preserve">References</w:t>
      </w:r>
    </w:p>
    <w:p>
      <w:pPr>
        <w:numPr>
          <w:ilvl w:val="0"/>
          <w:numId w:val="1001"/>
        </w:numPr>
        <w:pStyle w:val="Compact"/>
      </w:pPr>
      <w:r>
        <w:t xml:space="preserve">Social Workers Registration Board. (2019). *Code of Ethics*. Wellington, New Zealand.</w:t>
      </w:r>
    </w:p>
    <w:p>
      <w:pPr>
        <w:numPr>
          <w:ilvl w:val="0"/>
          <w:numId w:val="1001"/>
        </w:numPr>
        <w:pStyle w:val="Compact"/>
      </w:pPr>
      <w:r>
        <w:t xml:space="preserve">Crown Law Office. (1986). *The Treaty of Waitangi*. Wellington, New Zealand: Government Printer.</w:t>
      </w:r>
    </w:p>
    <w:p>
      <w:pPr>
        <w:numPr>
          <w:ilvl w:val="0"/>
          <w:numId w:val="1001"/>
        </w:numPr>
        <w:pStyle w:val="Compact"/>
      </w:pPr>
      <w:r>
        <w:t xml:space="preserve">Ministry of Social Development. (2021). *Social Work in Aotearoa New Zealand: Strategic Direction*. Wellington, NZ.</w:t>
      </w:r>
    </w:p>
    <w:p>
      <w:pPr>
        <w:numPr>
          <w:ilvl w:val="0"/>
          <w:numId w:val="1001"/>
        </w:numPr>
        <w:pStyle w:val="Compact"/>
      </w:pPr>
      <w:r>
        <w:t xml:space="preserve">Oranga Tamariki Ministry for Children. (2018). *The Oranga Tamariki Act 1989*. Wellington, New Zealand.</w:t>
      </w:r>
    </w:p>
    <w:p>
      <w:pPr>
        <w:numPr>
          <w:ilvl w:val="0"/>
          <w:numId w:val="1001"/>
        </w:numPr>
        <w:pStyle w:val="Compact"/>
      </w:pPr>
      <w:r>
        <w:t xml:space="preserve">Fook, J., &amp; Gardner, F. (2007). *Practising Critical Social Work: A Postmodern Approach*. London: Sage Publications. (Adapted for NZ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Social Workers in New Zealand Auckland</dc:title>
  <dc:creator/>
  <dc:language>en</dc:language>
  <cp:keywords/>
  <dcterms:created xsi:type="dcterms:W3CDTF">2026-07-30T03:15:51Z</dcterms:created>
  <dcterms:modified xsi:type="dcterms:W3CDTF">2026-07-30T03:15:51Z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