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Critical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Therapists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Caracas:</w:t>
      </w:r>
      <w:r>
        <w:t xml:space="preserve"> </w:t>
      </w:r>
      <w:r>
        <w:t xml:space="preserve">Navigating</w:t>
      </w:r>
      <w:r>
        <w:t xml:space="preserve"> </w:t>
      </w:r>
      <w:r>
        <w:t xml:space="preserve">Challenges</w:t>
      </w:r>
      <w:r>
        <w:t xml:space="preserve"> </w:t>
      </w:r>
      <w:r>
        <w:t xml:space="preserve">and</w:t>
      </w:r>
      <w:r>
        <w:t xml:space="preserve"> </w:t>
      </w:r>
      <w:r>
        <w:t xml:space="preserve">Opportunities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Critical Role of Speech Therapists in Venezuela Caracas: Navigating Challenges and Opportunities</dc:title>
  <dc:creator/>
  <dc:language>en</dc:language>
  <cp:keywords/>
  <dcterms:created xsi:type="dcterms:W3CDTF">2026-09-28T14:37:51Z</dcterms:created>
  <dcterms:modified xsi:type="dcterms:W3CDTF">2026-09-28T14:37:51Z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