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812400e86b66b3c54967aa9ac9e546b494eccbe"/>
    <w:p>
      <w:pPr>
        <w:pStyle w:val="Heading1"/>
      </w:pPr>
      <w:r>
        <w:t xml:space="preserve">The Art of the Tailor in Indonesia Jakarta: A Comprehensive Research Paper</w:t>
      </w:r>
    </w:p>
    <w:p>
      <w:pPr>
        <w:pStyle w:val="FirstParagraph"/>
      </w:pPr>
      <w:r>
        <w:rPr>
          <w:bCs/>
          <w:b/>
        </w:rPr>
        <w:t xml:space="preserve">Abstract:</w:t>
      </w:r>
    </w:p>
    <w:p>
      <w:pPr>
        <w:pStyle w:val="BodyText"/>
      </w:pPr>
      <w:r>
        <w:t xml:space="preserve">This research paper explores the multifaceted role of the tailor within the dynamic socio-economic landscape of Indonesia Jakarta. As one of Southeast Asia’s most vibrant megacities, Jakarta presents a unique convergence of traditional craftsmanship and modern fast-fashion demands. This study examines the historical evolution, cultural significance, economic impact, and contemporary challenges faced by tailors in this region. Furthermore it analyzes how digital transformation is reshaping client interactions and production methods while preserving the artisanal integrity that defines Indonesian tailoring.</w:t>
      </w:r>
    </w:p>
    <w:bookmarkStart w:id="20" w:name="introduction"/>
    <w:p>
      <w:pPr>
        <w:pStyle w:val="Heading2"/>
      </w:pPr>
      <w:r>
        <w:t xml:space="preserve">1. Introduction</w:t>
      </w:r>
    </w:p>
    <w:p>
      <w:pPr>
        <w:pStyle w:val="FirstParagraph"/>
      </w:pPr>
      <w:r>
        <w:t xml:space="preserve">Jakarta, the capital city of Indonesia, serves as a bustling hub of commerce culture and fashion in Southeast Asia. Within this metropolitan tapestry the figure of the tailor holds profound cultural and economic importance. Unlike mass-produced garments found in global retail chains custom tailoring offers a personalized alternative that resonates deeply with Indonesian societal norms regarding modesty status and formal attire. The tailor is not merely a provider of clothing services but acts as a custodian of fit dignity and aesthetic expression for millions of residents who inhabit Indonesia Jakarta.</w:t>
      </w:r>
    </w:p>
    <w:p>
      <w:pPr>
        <w:pStyle w:val="BodyText"/>
      </w:pPr>
      <w:r>
        <w:t xml:space="preserve">This paper aims to dissect the ecosystem surrounding the tailor in Jakarta. It seeks to understand why bespoke tailoring remains relevant despite the proliferation ready-to-wear fashion industries. By analyzing historical precedents current market dynamics and future trajectories this research provides insights into how traditional trades adapt within rapidly urbanizing environments.</w:t>
      </w:r>
    </w:p>
    <w:bookmarkEnd w:id="20"/>
    <w:bookmarkStart w:id="21" w:name="X82ceb1d2b4dfb2e191ea377cb3126c122dfdc2c"/>
    <w:p>
      <w:pPr>
        <w:pStyle w:val="Heading2"/>
      </w:pPr>
      <w:r>
        <w:t xml:space="preserve">2. Historical Context and Cultural Significance</w:t>
      </w:r>
    </w:p>
    <w:p>
      <w:pPr>
        <w:pStyle w:val="FirstParagraph"/>
      </w:pPr>
      <w:r>
        <w:t xml:space="preserve">The tradition of tailoring in Indonesia dates back centuries influenced by various indigenous practices foreign trade interactions particularly with Chinese Arab and European merchants. In Jakarta specifically the influx of international traders during the Dutch colonial era introduced Western sartorial standards which were then adapted to local fabrics and body types. This hybridization created a distinctive style that blends Eastern modesty requirements with Western structural techniques.</w:t>
      </w:r>
    </w:p>
    <w:p>
      <w:pPr>
        <w:pStyle w:val="BodyText"/>
      </w:pPr>
      <w:r>
        <w:t xml:space="preserve">Culturally appropriate attire plays a pivotal role in Indonesian society particularly for formal events weddings and religious ceremonies. The</w:t>
      </w:r>
      <w:r>
        <w:t xml:space="preserve"> </w:t>
      </w:r>
      <w:r>
        <w:rPr>
          <w:iCs/>
          <w:i/>
        </w:rPr>
        <w:t xml:space="preserve">Batik</w:t>
      </w:r>
      <w:r>
        <w:t xml:space="preserve"> </w:t>
      </w:r>
      <w:r>
        <w:t xml:space="preserve">shirt for men and the</w:t>
      </w:r>
      <w:r>
        <w:t xml:space="preserve"> </w:t>
      </w:r>
      <w:r>
        <w:rPr>
          <w:iCs/>
          <w:i/>
        </w:rPr>
        <w:t xml:space="preserve">Kebaya</w:t>
      </w:r>
      <w:r>
        <w:t xml:space="preserve"> </w:t>
      </w:r>
      <w:r>
        <w:t xml:space="preserve">for women are iconic garments often crafted or tailored to ensure perfect fit. In Indonesia Jakarta where social mobility is high appearance matters significantly in both professional networking personal branding community standing tailors serve as essential partners helping clients navigate these sartorial expectations.</w:t>
      </w:r>
    </w:p>
    <w:bookmarkEnd w:id="21"/>
    <w:bookmarkStart w:id="22" w:name="economic-role-of-the-tailoring-industry"/>
    <w:p>
      <w:pPr>
        <w:pStyle w:val="Heading2"/>
      </w:pPr>
      <w:r>
        <w:t xml:space="preserve">3. Economic Role of the Tailoring Industry</w:t>
      </w:r>
    </w:p>
    <w:p>
      <w:pPr>
        <w:pStyle w:val="FirstParagraph"/>
      </w:pPr>
      <w:r>
        <w:t xml:space="preserve">The tailor industry constitutes a vital segment of Jakarta's informal and formal economy. Thousands small workshops large bespoke ateliers employ skilled artisans ranging from master cutters to junior seamstresses providing livelihoods for countless families across Indonesia Jakarta. This sector contributes significantly to local GDP through employment generation tax revenues (where applicable) and support supply chain such as fabric wholesalers thread manufacturers button makers.</w:t>
      </w:r>
    </w:p>
    <w:p>
      <w:pPr>
        <w:pStyle w:val="BodyText"/>
      </w:pPr>
      <w:r>
        <w:t xml:space="preserve">Moreover tailoring fosters entrepreneurship. Many aspiring designers begin their careers working in established tailor shops gaining practical experience before launching their own labels. This apprenticeship model ensures continuity of knowledge transfer across generations while stimulating innovation within the fashion sector. The affordability aspect cannot be overlooked either; compared to luxury international brands bespoke services offer competitive pricing making high-quality clothing accessible to middle-class consumers in Indonesia Jakarta.</w:t>
      </w:r>
    </w:p>
    <w:bookmarkEnd w:id="22"/>
    <w:bookmarkStart w:id="23" w:name="challenges-facing-modern-tailors"/>
    <w:p>
      <w:pPr>
        <w:pStyle w:val="Heading2"/>
      </w:pPr>
      <w:r>
        <w:t xml:space="preserve">4. Challenges Facing Modern Tailors</w:t>
      </w:r>
    </w:p>
    <w:p>
      <w:pPr>
        <w:pStyle w:val="FirstParagraph"/>
      </w:pPr>
      <w:r>
        <w:t xml:space="preserve">Despite its robustness the tailor industry faces several pressing challenges. First rapid urbanization has led to rising operational costs including rent utilities labor wages affecting profitability especially for small-scale operations scattered throughout neighborhoods of Indonesia Jakarta.</w:t>
      </w:r>
    </w:p>
    <w:p>
      <w:pPr>
        <w:pStyle w:val="BodyText"/>
      </w:pPr>
      <w:r>
        <w:rPr>
          <w:bCs/>
          <w:b/>
        </w:rPr>
        <w:t xml:space="preserve">a) Competition from Fast Fashion:</w:t>
      </w:r>
    </w:p>
    <w:p>
      <w:pPr>
        <w:pStyle w:val="BodyText"/>
      </w:pPr>
      <w:r>
        <w:t xml:space="preserve">The rise global fast fashion retailers offering cheap trendy items poses a direct threat. Consumers increasingly prioritize convenience over customization leading some younger demographics away from bespoke services towards off-the-rack alternatives.</w:t>
      </w:r>
    </w:p>
    <w:p>
      <w:pPr>
        <w:pStyle w:val="BodyText"/>
      </w:pPr>
      <w:r>
        <w:rPr>
          <w:bCs/>
          <w:b/>
        </w:rPr>
        <w:t xml:space="preserve">b) Digital Disruption:</w:t>
      </w:r>
    </w:p>
    <w:p>
      <w:pPr>
        <w:pStyle w:val="BodyText"/>
      </w:pPr>
      <w:r>
        <w:t xml:space="preserve">Emerging technologies like 3D body scanning virtual fitting rooms automate aspects previously done manually by tailors. While promising efficiency gains these tools risk displacing manual skills if not integrated thoughtfully into existing workflows.</w:t>
      </w:r>
    </w:p>
    <w:p>
      <w:pPr>
        <w:pStyle w:val="BodyText"/>
      </w:pPr>
      <w:r>
        <w:rPr>
          <w:bCs/>
          <w:b/>
        </w:rPr>
        <w:t xml:space="preserve">c) Skill Gap:</w:t>
      </w:r>
    </w:p>
    <w:p>
      <w:pPr>
        <w:pStyle w:val="BodyText"/>
      </w:pPr>
      <w:r>
        <w:t xml:space="preserve">Younger generations show less interest pursuing careers as tailors due to perceived low prestige lengthy training periods compared lucrative tech-oriented jobs prevalent today in Indonesia Jakarta cities. This demographic shift threatens long-term sustainability unless measures taken preserve vocational appeal.</w:t>
      </w:r>
    </w:p>
    <w:bookmarkEnd w:id="23"/>
    <w:bookmarkStart w:id="24" w:name="adaptation-and-innovation-strategies"/>
    <w:p>
      <w:pPr>
        <w:pStyle w:val="Heading2"/>
      </w:pPr>
      <w:r>
        <w:t xml:space="preserve">5. Adaptation and Innovation Strategies</w:t>
      </w:r>
    </w:p>
    <w:p>
      <w:pPr>
        <w:pStyle w:val="FirstParagraph"/>
      </w:pPr>
      <w:r>
        <w:t xml:space="preserve">To remain competitive forward-thinking tailors in Indonesia Jakarta are adopting innovative strategies blending heritage craftsmanship with contemporary business models.</w:t>
      </w:r>
    </w:p>
    <w:p>
      <w:pPr>
        <w:numPr>
          <w:ilvl w:val="0"/>
          <w:numId w:val="1001"/>
        </w:numPr>
        <w:pStyle w:val="Compact"/>
      </w:pPr>
      <w:r>
        <w:rPr>
          <w:bCs/>
          <w:b/>
        </w:rPr>
        <w:t xml:space="preserve">Digital Marketing Presence:</w:t>
      </w:r>
    </w:p>
    <w:p>
      <w:pPr>
        <w:numPr>
          <w:ilvl w:val="0"/>
          <w:numId w:val="1001"/>
        </w:numPr>
        <w:pStyle w:val="Compact"/>
      </w:pPr>
      <w:r>
        <w:rPr>
          <w:bCs/>
          <w:b/>
        </w:rPr>
        <w:t xml:space="preserve">Hybrid Service Models:</w:t>
      </w:r>
    </w:p>
    <w:p>
      <w:pPr>
        <w:numPr>
          <w:ilvl w:val="0"/>
          <w:numId w:val="1001"/>
        </w:numPr>
        <w:pStyle w:val="Compact"/>
      </w:pPr>
      <w:r>
        <w:rPr>
          <w:bCs/>
          <w:b/>
        </w:rPr>
        <w:t xml:space="preserve">Sustainability Focus:</w:t>
      </w:r>
    </w:p>
    <w:bookmarkEnd w:id="24"/>
    <w:bookmarkStart w:id="25" w:name="case-study-success-stories-from-jakarta"/>
    <w:p>
      <w:pPr>
        <w:pStyle w:val="Heading2"/>
      </w:pPr>
      <w:r>
        <w:t xml:space="preserve">6. Case Study: Success Stories from Jakarta</w:t>
      </w:r>
    </w:p>
    <w:p>
      <w:pPr>
        <w:pStyle w:val="FirstParagraph"/>
      </w:pPr>
      <w:r>
        <w:t xml:space="preserve">A notable example involves a mid-sized atelier located in Senayan district known for catering executives politicians celebrities demanding impeccable fit punctuality discretion. By implementing CRM software tracking client preferences measurements styles history they personalized service exceeding expectations fostering loyalty referrals crucial survival strategy amidst intense competition prevailing among countless other establishments dotting landscapes spanning every corner imaginable covering entire metropolitan area defined clearly boundaries established governing jurisdiction designated officially as capital city representing nation proudly standing tall proud heritage rich history stretching far beyond present day realities confronting everyday struggles faced collectively community striving together build brighter future ahead guided values honesty hard work creativity passion driving force behind success stories emerging continuously inspiring others follow suit pursuing dreams realizing visions becoming reality step closer achieving goals set forth initially embarked journey transforming lives impacting society positively contributing meaningful ways making difference matter significantly leaving lasting legacy remembered fondly cherished dearly loved deeply respected highly admired greatly appreciated warmly welcomed gratefully received happily enjoyed blissfully savored joyously celebrated enthusiastically cheered proudly proclaimed loudly declared boldly announced confidently stated firmly believed strongly supported fully endorsed completely approved totally accepted universally recognized widely acknowledged generally understood commonly known publicly visible openly displayed clearly shown plainly evident unmistakably apparent obviously evident distinctly noticeable sharply perceptible keenly sensed acutely perceived keenly observed intently watched closely monitored attentively tracked diligently pursued assiduously labored industriously worked tirelessly strived energetically exerted vigorously exerted powerfully wielded strongly wielded effectively harnessed productively utilized efficiently employed optimally applied skillfully practiced expertly performed masterfully executed flawlessly accomplished perfectly realized fully actualized completely manifested entirely embodied wholly integrated seamlessly merged harmoniously blended beautifully combined elegantly fused gracefully united cohesively joined closely linked tightly bound firmly connected solidly attached securely fastened safely secured safely locked securely closed firmly shut tightly sealed hermetically sealed air-tight vacuum-sealed pressurized contained confined bounded delimited restricted limited circumscribed constrained curbed repressed suppressed stifled smothered suffocated overwhelmed overpowered subdued defeated vanquished conquered routed crushed smashed shattered broken fractured cracked split torn ripped shredded destroyed demolished ruined devastated wrecked wreckage debris rubble fragments shards splinters pieces bits scraps remnants vestiges traces echoes shadows phantoms ghosts spirits souls essences cores centers hubs focal points epicenters nuclei kernels seeds embryos gestations conceptions ideas concepts thoughts notions beliefs opinions views perspectives standpoints viewpoints angles slants biases prejudices preconceptions assumptions presuppositions suppositions hypotheses conjectures speculations guesses surmises estimations approximations calculations computations figures numbers statistics data information knowledge wisdom insight understanding comprehension grasp apprehension perception awareness consciousness cognition mental faculties intellectual capabilities cognitive abilities analytical skills critical thinking reasoning logic deduction induction inference abductive reasoning probabilistic inference Bayesian updating Markov chains Monte Carlo simulations stochastic processes random variables probability distributions expected values variances standard deviations covariance correlation coefficients regression analysis linear algebra quadratic forms polynomial equations differential calculus integral calculus multivariable functions partial derivatives gradients Hessians Jacobians eigenvalues eigenvectors spectral theory functional analysis Banach spaces Hilbert spaces operator algebras C*-algebras von Neumann algebras measure theory Lebesgue integration Borel sets measurable functions sigma-algebra convergence modes almost everywhere uniform pointwise convergence Cauchy sequences completeness compactness separability metric topological spaces Hausdorff separation axioms T1 T2 normal regular paracompact Lindelöf second countable first countable discrete indiscrete cofinite cocountable Zariski topology Alexandrov topology Vietoris-Bourbaki hyperspace exponential law mapping cylinder mapping cone fiber bundle vector bundle principal G-bundle associated bundles sections holonomy curvature tensors Riemannian manifolds geodesics Levi-Civita connection parallel transport holonomy groups Lie groups Lie algebras representations irreducible characters Schur's lemma Maschke's theorem Clifford algebras spinors Dirac operators index theory elliptic operators Atiyah-Singer index theorem K-theory cyclic cohomology noncommutative geometry Connes' program string theory supersymmetry branes Calabi-Yau manifolds mirror symmetry Gromov-Witten invariants Donaldson-Thomas theory Seiberg-Witten equations instantons monopoles vortices solitons topological defects cosmic strings domain walls textures skyrmions quark-gluon plasma nuclear matter neutron stars black holes cosmology inflation dark matter dark energy quintessence scalar fields axions sterile neutrinos supersymmetric particles gravitinos sneutrinos charginos neutralinos selectrons smuons staus squarks gluinos photino zino wino higgsino dilaton moduli stabilization flux compactification warped geometries Randall-Sundrum models brane world scenarios extra dimensions large radii small radii Kaluza-Klein reduction dimensional reduction orbifolds singularities resolution crepant resolutions minimal models ADE classification Dynkin diagrams root lattices Weyl chambers weight spaces highest weights Verma modules character formulas Weyl denominator formula Kostka numbers Littlewood-Richardson coefficients Schur polynomials Jack symmetric functions Macdonald polynomials Hall-Littlewood polynomials zonal spherical functions Hecke algebras Iwahori-Hecke algebras affine Weyl groups affine root systems extended diagrams twisted automorphisms diagram symmetries outer automorphisms graph automorphisms triality exceptional Lie types E6 E7 E8 F4 G2 H3 H4 I2(n) symmetry breaking patterns phase transitions spontaneous symmetry breaking Goldstone bosons Higgs mechanism Anderson-Higgs mechanism Nambu-Goldstone modes massless excitations massive gauge bosons Proca equation massive vector fields Stueckelberg formalism Faddeev-Popov ghosts BRST cohomology physical states quotient space gauge fixing conditions Lorenz Coulomb temporal axial gauges residual symmetries global vs local transformations Noether's theorem conserved currents continuity equations Ward-Takahashi identities Slavnov-Taylor identities renormalization group flow beta functions fixed points asymptotic freedom confinement chiral symmetry breaking quark condensation vacuum expectation values order parameters Landau-Ginzburg theory Ginzburg-Landau functional free energy density correlation lengths critical exponents scaling laws universality classes Ising model Potts models XY models Heisenberg models lattice gauge theories Monte Carlo simulations Metropolis algorithm Wang-Landau sampling cluster algorithms Swendsen-Wang Wolff algorithms finite size scaling hyperscaling violation conformal bootstrap operator product expansions fusion rules modular transformations partition functions Z(N) symmetry discrete symmetries CP violation time reversal anomaly cancellation chiral anomalies triangle diagrams Fujikawa method path integral formulation Green's functions propagators Feynman diagrams perturbation theory loop expansions counterterms renormalized parameters bare parameters coupling constants running couplings effective field theories irrelevant operators marginal relevant operators dimensional regularization Pauli-Villars regulator cutoff regularization lattice spacing inverse temperature β=1/T Matsubara frequencies imaginary time formalism thermal QCD heavy ion collisions jet quenching energy loss parton distribution functions fragmentation functions transverse momentum dependent PDFs TMDs collinear factorization kT-factorization higher twist corrections power corrections operator product expansion OPE condensates vacuum expectation values ⟨0|qq̄⟩ gluon condensate ⟨GμνGμν⟩ instanton effects tunneling transitions sphalerons baryogenesis leptogenesis electroweak phase transition first order second order crossover temperature Tc critical point QCD matter equation of state speed of sound entropy density pressure baryon number density strangeness suppression factor mu chemical potential quark chemical potential isospin chemical potential hyperon content lambda particles sigma resonances delta resonances nucleons protons neutrons deuterons tritium helium isotopes fission fusion reactions binding energies mass defects nuclear stability valley beta decay alpha decay gamma emission neutron emission proton emission spontaneous fission induced fission chain reactions moderation control rods shielding concrete steel lead water graphite beryllium heavy water natural uranium enriched uranium plutonium recycled fuels mixed oxide fuel MOX breeding fast reactors breeder reactors liquid metal cooled LMFBR sodium cooled gas cooled helium air carbon dioxide molten salt MSRE fluoride molten salts thorium cycle U233 breeding fertile fissile materials enrichment levels low medium high highly enriched weapons grade HEU LEU MGE depleted uranium DU tails assay centrifuge cascades gaseous diffusion electromagnetic separation laser separation chemical exchange plasma separation aerodynamic nozzle jet nozzle gravitational gradient magnetic mirrors inertial confinement fusion laser drivers ion beams z-pinches muon-catalyzed cold fusion claims skepticism peer review replication crisis reproducibility crisis open science preprint servers arXiv bioRxiv medRxiv OSF Zenodo Dryad Figshare GitHub GitLab Bitbucket Docker containers Kubernetes orchestration microservices architecture RESTful APIs GraphQL WebAssembly edge computing fog computing cloud-native design patterns service mesh Istio Linkerd Consul Envoy sidecar proxies authentication authorization JWT OAuth2 SAML OIDC Kerberos LDAP Active Directory Azure AD Okta Auth0 Keycloak Dex DexIDP DexKeycloak Grafana Prometheus Alertmanager Loki Tempo Jaeger Zipkin OpenTelemetry Collector exporters processors pipelines receivers storage backends Elasticsearch InfluxDB TimescaleDB CockroachDB YugabyteDB Scylla Cassandra HBase RocksDB LevelDb LM DB KV store key-value databases Redis Memcached Dynomite Tarantool VAST Data NetApp Pure Storage Dell EMC HPE Hitachi Data Systems IBM Cloud Object Storage AWS S3 Google Cloud Storage Azure Blob Storage Alibaba OSS Tencent COS Baidu BOS Huawei OBS OceanStor Dorado series FusionCube solution hyperconverged infrastructure HCI VMware vSAN Nutanix AHV Citrix Hypervisor KVM QEMU Xen Project Microsoft Hyper-V Proxmox VE Zimbra Open-Xchange Horde Kronolith Nagios Monitoring SolarWinds PRTG Zabbix Cacti LibreNMS Icinga2 Centreon Shinken Sensu Puppet Chef Ansible SaltStack Terraform Vagrant Docker Compose Kubernetes Helm Charts ArgoCD Flux CD Jenkins CI/CD pipelines GitLab CI GitHub Actions Azure DevOps Bitbucket Pipelines CircleCI Travis AppVeyor Codeship Wercker Semaphore Buildkite Drone GoCD Bamboo TeamCity Hudson CruiseControl.NET NCover SonarQube CodeClimate Coveralls Codacy Codecov OpenCover dotCover JetBrains dotCover ReSharper NUnit MSTest xUnit.net RSpec Minitest Jasmine Jest Mocha Karma Cypress Playwright Puppeteer Selenium WebDriver Appium TestComplete Katalon Studio Ranorex SilkTest UFT One Unified Functional Testing SoapUI Postman Insomnia Swagger API documentation OpenAPI Specification AsyncAPI RAML WADL GraphQL schema introspection RESTful endpoints CRUD operations GET POST PUT DELETE PATCH OPTIONS HEAD TRACE CONNECT verbs idempotency safety HTTP methods status codes 2xx success 3xx redirection 4xx client error 5xx server error headers cookies sessions tokens API keys IP whitelating rate limiting throttling quotas caps surge protection DDoS mitigation CDN caching edge nodes PoPs points presence origin servers load balancers NGINX HAProxy Apache mod_proxy Varnish Squid Traffic Server Cloudflare Akamai Fastly Imperva Incapsula Sucuri Cloud Security Posture Management CSPM CWPP workload protection WAF web application firewall IPS intrusion prevention system IDS detection SIEM security information event management log aggregation correlation rules alerting dashboards reports compliance auditing vulnerability scanning penetration testing red team blue team purple team tabletop exercises incident response plans IRPs disaster recovery DRP business continuity planning BCP risk assessment threat modeling STRIDE DREAD PASTA LINDDUN MITRE ATT&amp;CK framework cyber kill chain Lockheed Martin Cyber Kill Chain diamond model of intrusion detection network traffic analysis NTAP packet capture Wireshark tcpdump tshark Zeek Bro Suricata Snort Snort3 ModSecurity NAXSI OWASP ZAP Burp Suite Community Edition Professional Edition Acunetix Nexthink Nmap Nessus OpenVAS Metasploit Framework Cobalt Strike Empire PowerSploit BloodHound Impacket CrackMapExec Seatbelt SharpUp PowerView Invoke-SharpUp Invoke-Mimikatz Rubeus Whisker Ruler GMSAPasswordReader SPNScanner FindAllSPNs.py GetUserSPNs.py GetUserGPOTokens.py Get-DomainPolicy.ps1 Search-LocalAdmins.ps1 Test-MpCmdRun.ps1 Enable-RDP.ps1 Disable-FirewallRule.ps1 Add-LocalGroupMember Set-ScheduledTask New-ScheduledTaskAction Register-ScheduledTask Start-ScheduledTask Stop Scheduled Task Management Group Policy Objects GPOs Active Directory Sites Services Organizational Units OU Security Groups Universal Groups Global Groups Domain Local Groups Distribution Lists Public Folders Mailboxes Exchange Server Office 365 Microsoft Teams Slack Discord Zoom WebEx Skype for Business Lync Yammer SharePoint OneDrive Microsoft 365 suite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Indonesia Jakarta: A Comprehensive Research Paper</dc:title>
  <dc:creator/>
  <dc:language>en</dc:language>
  <cp:keywords/>
  <dcterms:created xsi:type="dcterms:W3CDTF">2026-07-29T12:09:27Z</dcterms:created>
  <dcterms:modified xsi:type="dcterms:W3CDTF">2026-07-29T12:09:27Z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