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Melbourne</w:t>
      </w:r>
    </w:p>
    <w:bookmarkStart w:id="28" w:name="X84e5eec37a0c67e47a6ae7a5d5fd2be4960ee56"/>
    <w:p>
      <w:pPr>
        <w:pStyle w:val="Heading1"/>
      </w:pPr>
      <w:r>
        <w:t xml:space="preserve">The Pedagogical Landscape of Early Education: A Research Paper on the Teacher Primary in Australia Melbourne</w:t>
      </w:r>
    </w:p>
    <w:p>
      <w:pPr>
        <w:pStyle w:val="FirstParagraph"/>
      </w:pPr>
      <w:r>
        <w:rPr>
          <w:bCs/>
          <w:b/>
        </w:rPr>
        <w:t xml:space="preserve">Abstract</w:t>
      </w:r>
    </w:p>
    <w:p>
      <w:pPr>
        <w:pStyle w:val="BodyText"/>
      </w:pPr>
      <w:r>
        <w:t xml:space="preserve">This research paper examines the multifaceted role of the teacher primary within the specific educational context of Australia Melbourne. By analyzing current pedagogical frameworks, cultural diversity considerations, and technological integration, this document elucidates how early childhood educators in this metropolitan hub contribute to national educational standards. The findings suggest that effective primary teaching in Melbourne requires a unique blend of academic rigor, cultural responsiveness to its diverse population, and adaptive leadership skills.</w:t>
      </w:r>
    </w:p>
    <w:bookmarkStart w:id="20" w:name="introduction"/>
    <w:p>
      <w:pPr>
        <w:pStyle w:val="Heading2"/>
      </w:pPr>
      <w:r>
        <w:t xml:space="preserve">1. Introduction</w:t>
      </w:r>
    </w:p>
    <w:p>
      <w:pPr>
        <w:pStyle w:val="FirstParagraph"/>
      </w:pPr>
      <w:r>
        <w:t xml:space="preserve">The education sector in Australia stands as a pillar of social development and economic stability. At the foundation of this system lies the</w:t>
      </w:r>
      <w:r>
        <w:t xml:space="preserve"> </w:t>
      </w:r>
      <w:r>
        <w:rPr>
          <w:bCs/>
          <w:b/>
        </w:rPr>
        <w:t xml:space="preserve">Teacher Primary</w:t>
      </w:r>
      <w:r>
        <w:t xml:space="preserve">, an educator responsible for shaping the cognitive, social, and emotional development of children during their formative years. While national standards provide a broad framework, local contexts significantly influence teaching methodologies. Melbourne, as the cultural and educational capital of Victoria in</w:t>
      </w:r>
      <w:r>
        <w:t xml:space="preserve"> </w:t>
      </w:r>
      <w:r>
        <w:rPr>
          <w:bCs/>
          <w:b/>
        </w:rPr>
        <w:t xml:space="preserve">Australia Melbourne</w:t>
      </w:r>
      <w:r>
        <w:t xml:space="preserve">, presents a unique environment for primary education. This paper explores how teachers operating within this specific region adapt to local challenges and opportunities, ensuring that students are prepared for an increasingly complex world.</w:t>
      </w:r>
    </w:p>
    <w:bookmarkEnd w:id="20"/>
    <w:bookmarkStart w:id="21" w:name="X55d3f9edbbd10701ffe3c84e1d58407d0abc6cc"/>
    <w:p>
      <w:pPr>
        <w:pStyle w:val="Heading2"/>
      </w:pPr>
      <w:r>
        <w:t xml:space="preserve">2. The Professional Framework of the Teacher Primary</w:t>
      </w:r>
    </w:p>
    <w:p>
      <w:pPr>
        <w:pStyle w:val="FirstParagraph"/>
      </w:pPr>
      <w:r>
        <w:t xml:space="preserve">In</w:t>
      </w:r>
      <w:r>
        <w:t xml:space="preserve"> </w:t>
      </w:r>
      <w:r>
        <w:rPr>
          <w:bCs/>
          <w:b/>
        </w:rPr>
        <w:t xml:space="preserve">Australia Melbourne</w:t>
      </w:r>
      <w:r>
        <w:t xml:space="preserve">, the role of a</w:t>
      </w:r>
      <w:r>
        <w:t xml:space="preserve"> </w:t>
      </w:r>
      <w:r>
        <w:rPr>
          <w:bCs/>
          <w:b/>
        </w:rPr>
        <w:t xml:space="preserve">Teacher Primary</w:t>
      </w:r>
      <w:r>
        <w:t xml:space="preserve"> </w:t>
      </w:r>
      <w:r>
        <w:t xml:space="preserve">is governed by stringent accreditation standards set by the Victorian Institute of Teaching (VIT) and aligned with national guidelines from the Australian Institute for Teaching and School Leadership (AITSL). These professionals are not merely deliverers of curriculum; they are facilitators of inquiry-based learning.</w:t>
      </w:r>
    </w:p>
    <w:p>
      <w:pPr>
        <w:pStyle w:val="BodyText"/>
      </w:pPr>
      <w:r>
        <w:t xml:space="preserve">The modern</w:t>
      </w:r>
      <w:r>
        <w:t xml:space="preserve"> </w:t>
      </w:r>
      <w:r>
        <w:rPr>
          <w:bCs/>
          <w:b/>
        </w:rPr>
        <w:t xml:space="preserve">Teacher Primary</w:t>
      </w:r>
      <w:r>
        <w:t xml:space="preserve"> </w:t>
      </w:r>
      <w:r>
        <w:t xml:space="preserve">in Melbourne is expected to possess deep knowledge of the Australian Curriculum, particularly in literacy and numeracy foundations. However, the scope extends beyond content delivery. Educators must employ differentiated instruction strategies to cater to diverse learning needs within a single classroom. This includes supporting students with disabilities, those from non-English speaking backgrounds, and gifted learners. The professional identity of a</w:t>
      </w:r>
      <w:r>
        <w:t xml:space="preserve"> </w:t>
      </w:r>
      <w:r>
        <w:rPr>
          <w:bCs/>
          <w:b/>
        </w:rPr>
        <w:t xml:space="preserve">Teacher Primary</w:t>
      </w:r>
      <w:r>
        <w:t xml:space="preserve"> </w:t>
      </w:r>
      <w:r>
        <w:t xml:space="preserve">in this region is characterized by continuous professional development, reflective practice, and ethical responsibility.</w:t>
      </w:r>
    </w:p>
    <w:bookmarkEnd w:id="21"/>
    <w:bookmarkStart w:id="22" w:name="X8c279a3caf501d70709dc66157aa64f33a481a2"/>
    <w:p>
      <w:pPr>
        <w:pStyle w:val="Heading2"/>
      </w:pPr>
      <w:r>
        <w:t xml:space="preserve">3. Cultural Diversity and Inclusion in Melbourne</w:t>
      </w:r>
    </w:p>
    <w:p>
      <w:pPr>
        <w:pStyle w:val="FirstParagraph"/>
      </w:pPr>
      <w:r>
        <w:t xml:space="preserve">A defining characteristic of education in</w:t>
      </w:r>
      <w:r>
        <w:t xml:space="preserve"> </w:t>
      </w:r>
      <w:r>
        <w:rPr>
          <w:bCs/>
          <w:b/>
        </w:rPr>
        <w:t xml:space="preserve">Australia Melbourne</w:t>
      </w:r>
      <w:r>
        <w:t xml:space="preserve"> </w:t>
      </w:r>
      <w:r>
        <w:t xml:space="preserve">is its profound cultural diversity. The city has one of the highest proportions of overseas-born residents globally, which is reflected in its primary school demographics. Consequently, the role of the</w:t>
      </w:r>
      <w:r>
        <w:t xml:space="preserve"> </w:t>
      </w:r>
      <w:r>
        <w:rPr>
          <w:bCs/>
          <w:b/>
        </w:rPr>
        <w:t xml:space="preserve">Teacher Primary</w:t>
      </w:r>
      <w:r>
        <w:t xml:space="preserve"> </w:t>
      </w:r>
      <w:r>
        <w:t xml:space="preserve">has evolved to include critical competencies in cross-cultural communication and inclusive pedagogy.</w:t>
      </w:r>
    </w:p>
    <w:p>
      <w:pPr>
        <w:pStyle w:val="BodyText"/>
      </w:pPr>
      <w:r>
        <w:t xml:space="preserve">Educators must navigate a multicultural landscape where students may speak various languages at home. A proficient</w:t>
      </w:r>
      <w:r>
        <w:t xml:space="preserve"> </w:t>
      </w:r>
      <w:r>
        <w:rPr>
          <w:bCs/>
          <w:b/>
        </w:rPr>
        <w:t xml:space="preserve">Teacher Primary</w:t>
      </w:r>
      <w:r>
        <w:t xml:space="preserve"> </w:t>
      </w:r>
      <w:r>
        <w:t xml:space="preserve">employs English as an Additional Language or Dialect (EAL/D) strategies to ensure equitable access to learning. Furthermore, teachers are tasked with fostering social cohesion and mutual respect among students from varied backgrounds. This involves integrating Indigenous Australian history and perspectives into the curriculum, honoring the traditional custodians of the land on which schools stand. In</w:t>
      </w:r>
      <w:r>
        <w:t xml:space="preserve"> </w:t>
      </w:r>
      <w:r>
        <w:rPr>
          <w:bCs/>
          <w:b/>
        </w:rPr>
        <w:t xml:space="preserve">Australia Melbourne</w:t>
      </w:r>
      <w:r>
        <w:t xml:space="preserve">, cultural responsiveness is not an add-on but a core component of effective teaching practice.</w:t>
      </w:r>
    </w:p>
    <w:bookmarkEnd w:id="22"/>
    <w:bookmarkStart w:id="23" w:name="X6221c33348bfc93462c6bf2d9e14f3c0a11e07c"/>
    <w:p>
      <w:pPr>
        <w:pStyle w:val="Heading2"/>
      </w:pPr>
      <w:r>
        <w:t xml:space="preserve">4. Technological Integration and Digital Literacy</w:t>
      </w:r>
    </w:p>
    <w:p>
      <w:pPr>
        <w:pStyle w:val="FirstParagraph"/>
      </w:pPr>
      <w:r>
        <w:t xml:space="preserve">The educational landscape in</w:t>
      </w:r>
      <w:r>
        <w:t xml:space="preserve"> </w:t>
      </w:r>
      <w:r>
        <w:rPr>
          <w:bCs/>
          <w:b/>
        </w:rPr>
        <w:t xml:space="preserve">Australia Melbourne</w:t>
      </w:r>
      <w:r>
        <w:t xml:space="preserve"> </w:t>
      </w:r>
      <w:r>
        <w:t xml:space="preserve">has seen rapid technological transformation, accelerated by recent global events. The</w:t>
      </w:r>
      <w:r>
        <w:t xml:space="preserve"> </w:t>
      </w:r>
      <w:r>
        <w:rPr>
          <w:bCs/>
          <w:b/>
        </w:rPr>
        <w:t xml:space="preserve">Teacher Primary</w:t>
      </w:r>
      <w:r>
        <w:t xml:space="preserve"> </w:t>
      </w:r>
      <w:r>
        <w:t xml:space="preserve">is now expected to be digitally literate, integrating technology meaningfully into the classroom rather than using it as a mere supplement. This includes utilizing interactive whiteboards, learning management systems (LMS), and educational apps that personalize student learning paths.</w:t>
      </w:r>
    </w:p>
    <w:p>
      <w:pPr>
        <w:pStyle w:val="BodyText"/>
      </w:pPr>
      <w:r>
        <w:t xml:space="preserve">In metropolitan Melbourne, many primary schools are equipped with high-speed infrastructure and one-to-one device programs. Teachers must therefore balance screen time with physical activity and face-to-face interaction. The</w:t>
      </w:r>
      <w:r>
        <w:t xml:space="preserve"> </w:t>
      </w:r>
      <w:r>
        <w:rPr>
          <w:bCs/>
          <w:b/>
        </w:rPr>
        <w:t xml:space="preserve">Teacher Primary</w:t>
      </w:r>
      <w:r>
        <w:t xml:space="preserve"> </w:t>
      </w:r>
      <w:r>
        <w:t xml:space="preserve">plays a crucial role in teaching digital citizenship, ensuring students understand online safety, privacy, and ethical behavior. Professional development in Melbourne often focuses on pedagogical innovation through technology, empowering educators to create dynamic learning environments that mirror the digital reality of modern life.</w:t>
      </w:r>
    </w:p>
    <w:bookmarkEnd w:id="23"/>
    <w:bookmarkStart w:id="24" w:name="community-engagement-and-partnership"/>
    <w:p>
      <w:pPr>
        <w:pStyle w:val="Heading2"/>
      </w:pPr>
      <w:r>
        <w:t xml:space="preserve">5. Community Engagement and Partnership</w:t>
      </w:r>
    </w:p>
    <w:p>
      <w:pPr>
        <w:pStyle w:val="FirstParagraph"/>
      </w:pPr>
      <w:r>
        <w:t xml:space="preserve">The effectiveness of a</w:t>
      </w:r>
      <w:r>
        <w:t xml:space="preserve"> </w:t>
      </w:r>
      <w:r>
        <w:rPr>
          <w:bCs/>
          <w:b/>
        </w:rPr>
        <w:t xml:space="preserve">Teacher Primary</w:t>
      </w:r>
      <w:r>
        <w:t xml:space="preserve"> </w:t>
      </w:r>
      <w:r>
        <w:t xml:space="preserve">is deeply intertwined with their ability to engage with parents and the broader community. In</w:t>
      </w:r>
      <w:r>
        <w:t xml:space="preserve"> </w:t>
      </w:r>
      <w:r>
        <w:rPr>
          <w:bCs/>
          <w:b/>
        </w:rPr>
        <w:t xml:space="preserve">Australia Melbourne</w:t>
      </w:r>
      <w:r>
        <w:t xml:space="preserve">, schools are often community hubs, providing services beyond traditional schooling hours. Teachers are expected to build strong relationships with families, recognizing that parent involvement is a significant predictor of student success.</w:t>
      </w:r>
    </w:p>
    <w:p>
      <w:pPr>
        <w:pStyle w:val="BodyText"/>
      </w:pPr>
      <w:r>
        <w:t xml:space="preserve">This engagement involves regular communication through digital platforms, face-to-face meetings, and community events. Teachers must also collaborate with local health services, libraries, and cultural organizations to provide holistic support for students. For instance, in areas of socioeconomic disadvantage within Melbourne's outer suburbs or inner-city enclaves,</w:t>
      </w:r>
      <w:r>
        <w:t xml:space="preserve"> </w:t>
      </w:r>
      <w:r>
        <w:rPr>
          <w:bCs/>
          <w:b/>
        </w:rPr>
        <w:t xml:space="preserve">Teacher Primary</w:t>
      </w:r>
      <w:r>
        <w:t xml:space="preserve"> </w:t>
      </w:r>
      <w:r>
        <w:t xml:space="preserve">professionals often act as connectors to essential resources such as counseling, nutrition programs, and early intervention services.</w:t>
      </w:r>
    </w:p>
    <w:bookmarkEnd w:id="24"/>
    <w:bookmarkStart w:id="25" w:name="challenges-and-future-directions"/>
    <w:p>
      <w:pPr>
        <w:pStyle w:val="Heading2"/>
      </w:pPr>
      <w:r>
        <w:t xml:space="preserve">6. Challenges and Future Directions</w:t>
      </w:r>
    </w:p>
    <w:p>
      <w:pPr>
        <w:pStyle w:val="FirstParagraph"/>
      </w:pPr>
      <w:r>
        <w:t xml:space="preserve">The role of the</w:t>
      </w:r>
      <w:r>
        <w:t xml:space="preserve"> </w:t>
      </w:r>
      <w:r>
        <w:rPr>
          <w:bCs/>
          <w:b/>
        </w:rPr>
        <w:t xml:space="preserve">Teacher Primary</w:t>
      </w:r>
      <w:r>
        <w:t xml:space="preserve">, while rewarding, is not without significant challenges. Workload management remains a critical issue in</w:t>
      </w:r>
      <w:r>
        <w:t xml:space="preserve"> </w:t>
      </w:r>
      <w:r>
        <w:rPr>
          <w:bCs/>
          <w:b/>
        </w:rPr>
        <w:t xml:space="preserve">Australia Melbourne</w:t>
      </w:r>
      <w:r>
        <w:t xml:space="preserve">, with educators facing pressure from administrative tasks, assessment requirements, and the need for continuous professional growth. Burnout and retention are growing concerns within the sector.</w:t>
      </w:r>
    </w:p>
    <w:p>
      <w:pPr>
        <w:pStyle w:val="BodyText"/>
      </w:pPr>
      <w:r>
        <w:t xml:space="preserve">Furthermore, addressing learning gaps exacerbated by recent disruptions requires targeted interventions. Future research indicates a need for stronger support systems for</w:t>
      </w:r>
      <w:r>
        <w:t xml:space="preserve"> </w:t>
      </w:r>
      <w:r>
        <w:rPr>
          <w:bCs/>
          <w:b/>
        </w:rPr>
        <w:t xml:space="preserve">Teacher Primary</w:t>
      </w:r>
      <w:r>
        <w:t xml:space="preserve"> </w:t>
      </w:r>
      <w:r>
        <w:t xml:space="preserve">professionals, including mentorship programs and reduced administrative burdens. Additionally, as climate change becomes an urgent global issue, educators in Melbourne are increasingly incorporating sustainability and environmental stewardship into the primary curriculum.</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Teacher Primary</w:t>
      </w:r>
      <w:r>
        <w:t xml:space="preserve"> </w:t>
      </w:r>
      <w:r>
        <w:t xml:space="preserve">in</w:t>
      </w:r>
      <w:r>
        <w:t xml:space="preserve"> </w:t>
      </w:r>
      <w:r>
        <w:rPr>
          <w:bCs/>
          <w:b/>
        </w:rPr>
        <w:t xml:space="preserve">Australia Melbourne</w:t>
      </w:r>
      <w:r>
        <w:t xml:space="preserve">, operates at the intersection of high academic standards, cultural diversity, and technological innovation. This role is complex and dynamic, requiring educators to be adaptable, culturally competent leaders who prioritize student well-being alongside academic achievement. The unique context of Melbourne demands that teachers not only deliver the curriculum but also foster inclusive communities where every child feels valued and supported.</w:t>
      </w:r>
    </w:p>
    <w:p>
      <w:pPr>
        <w:pStyle w:val="BodyText"/>
      </w:pPr>
      <w:r>
        <w:t xml:space="preserve">The sustainability of the education system in this region depends on recognizing the vital contribution of primary teachers. Investment in their professional development, well-being, and resources is essential to maintaining the high quality of education for which</w:t>
      </w:r>
      <w:r>
        <w:t xml:space="preserve"> </w:t>
      </w:r>
      <w:r>
        <w:rPr>
          <w:bCs/>
          <w:b/>
        </w:rPr>
        <w:t xml:space="preserve">Australia Melbourne</w:t>
      </w:r>
      <w:r>
        <w:t xml:space="preserve"> </w:t>
      </w:r>
      <w:r>
        <w:t xml:space="preserve">is renowned. As society evolves, so too must the role of the</w:t>
      </w:r>
      <w:r>
        <w:t xml:space="preserve"> </w:t>
      </w:r>
      <w:r>
        <w:rPr>
          <w:bCs/>
          <w:b/>
        </w:rPr>
        <w:t xml:space="preserve">Teacher Primary</w:t>
      </w:r>
      <w:r>
        <w:t xml:space="preserve">, ensuring they remain at the forefront of educational excellence.</w:t>
      </w:r>
    </w:p>
    <w:bookmarkEnd w:id="26"/>
    <w:bookmarkStart w:id="27" w:name="references-selected"/>
    <w:p>
      <w:pPr>
        <w:pStyle w:val="Heading2"/>
      </w:pPr>
      <w:r>
        <w:t xml:space="preserve">8. References (Selected)</w:t>
      </w:r>
    </w:p>
    <w:p>
      <w:pPr>
        <w:numPr>
          <w:ilvl w:val="0"/>
          <w:numId w:val="1001"/>
        </w:numPr>
        <w:pStyle w:val="Compact"/>
      </w:pPr>
      <w:r>
        <w:t xml:space="preserve">VICTorian Institute of Teaching. (2023).</w:t>
      </w:r>
      <w:r>
        <w:t xml:space="preserve"> </w:t>
      </w:r>
      <w:r>
        <w:rPr>
          <w:iCs/>
          <w:i/>
        </w:rPr>
        <w:t xml:space="preserve">VIT Accreditation Standards for Teachers</w:t>
      </w:r>
      <w:r>
        <w:t xml:space="preserve">. Melbourne: VIT.</w:t>
      </w:r>
    </w:p>
    <w:p>
      <w:pPr>
        <w:numPr>
          <w:ilvl w:val="0"/>
          <w:numId w:val="1001"/>
        </w:numPr>
        <w:pStyle w:val="Compact"/>
      </w:pPr>
      <w:r>
        <w:t xml:space="preserve">Australian Curriculum, Assessment and Reporting Authority. (2023).</w:t>
      </w:r>
      <w:r>
        <w:t xml:space="preserve"> </w:t>
      </w:r>
      <w:r>
        <w:rPr>
          <w:iCs/>
          <w:i/>
        </w:rPr>
        <w:t xml:space="preserve">The Australian Curriculum: Version 9.0</w:t>
      </w:r>
      <w:r>
        <w:t xml:space="preserve">. ACARA.</w:t>
      </w:r>
    </w:p>
    <w:p>
      <w:pPr>
        <w:numPr>
          <w:ilvl w:val="0"/>
          <w:numId w:val="1001"/>
        </w:numPr>
        <w:pStyle w:val="Compact"/>
      </w:pPr>
      <w:r>
        <w:t xml:space="preserve">Gale, T., &amp; Parker, L. (2018). "Indigenous Education in Australia: A Review of Policy and Practice."</w:t>
      </w:r>
      <w:r>
        <w:t xml:space="preserve"> </w:t>
      </w:r>
      <w:r>
        <w:rPr>
          <w:iCs/>
          <w:i/>
        </w:rPr>
        <w:t xml:space="preserve">Journal of Educational Policy</w:t>
      </w:r>
      <w:r>
        <w:t xml:space="preserve">.</w:t>
      </w:r>
    </w:p>
    <w:p>
      <w:pPr>
        <w:numPr>
          <w:ilvl w:val="0"/>
          <w:numId w:val="1001"/>
        </w:numPr>
        <w:pStyle w:val="Compact"/>
      </w:pPr>
      <w:r>
        <w:t xml:space="preserve">Melbourne Institute. (2023). "Socio-Educational Disadvantage and School Outcomes in Greater Melbourne."</w:t>
      </w:r>
      <w:r>
        <w:t xml:space="preserve"> </w:t>
      </w:r>
      <w:r>
        <w:rPr>
          <w:iCs/>
          <w:i/>
        </w:rPr>
        <w:t xml:space="preserve">Melbourne Institute Working Paper Series</w:t>
      </w:r>
      <w:r>
        <w:t xml:space="preserve">.</w:t>
      </w:r>
    </w:p>
    <w:p>
      <w:pPr>
        <w:numPr>
          <w:ilvl w:val="0"/>
          <w:numId w:val="1001"/>
        </w:numPr>
        <w:pStyle w:val="Compact"/>
      </w:pPr>
      <w:r>
        <w:t xml:space="preserve">Australian Government Department of Education, Skills and Employment. (2024). "National Report on Schooling in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Teacher Primary in Australia Melbourne</dc:title>
  <dc:creator/>
  <dc:language>en</dc:language>
  <cp:keywords/>
  <dcterms:created xsi:type="dcterms:W3CDTF">2026-07-29T21:06:51Z</dcterms:created>
  <dcterms:modified xsi:type="dcterms:W3CDTF">2026-07-29T21:06:51Z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