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Australia</w:t>
      </w:r>
      <w:r>
        <w:t xml:space="preserve"> </w:t>
      </w:r>
      <w:r>
        <w:t xml:space="preserve">Brisbane</w:t>
      </w:r>
    </w:p>
    <w:bookmarkStart w:id="34" w:name="X9199fde6505ce25fde48e1a83bcbe5abbac3577"/>
    <w:p>
      <w:pPr>
        <w:pStyle w:val="Heading1"/>
      </w:pPr>
      <w:r>
        <w:t xml:space="preserve">The Role and Dynamics of Teacher Secondary in Australia Brisbane</w:t>
      </w:r>
    </w:p>
    <w:p>
      <w:pPr>
        <w:pStyle w:val="FirstParagraph"/>
      </w:pPr>
      <w:r>
        <w:rPr>
          <w:bCs/>
          <w:b/>
        </w:rPr>
        <w:t xml:space="preserve">A Research Paper on Educational Leadership, Pedagogy, and Community Engagement</w:t>
      </w:r>
    </w:p>
    <w:bookmarkStart w:id="20" w:name="abstract"/>
    <w:p>
      <w:pPr>
        <w:pStyle w:val="Heading3"/>
      </w:pPr>
      <w:r>
        <w:t xml:space="preserve">Abstract</w:t>
      </w:r>
    </w:p>
    <w:p>
      <w:pPr>
        <w:pStyle w:val="FirstParagraph"/>
      </w:pPr>
      <w:r>
        <w:t xml:space="preserve">This research paper examines the multifaceted role of the Teacher Secondary within the specific socio-educational context of Australia Brisbane. As educational landscapes evolve globally, secondary teachers in Brisbane face unique challenges and opportunities driven by demographic shifts, curriculum reforms under the Australian Curriculum, and diverse student needs. This document explores pedagogical strategies, professional responsibilities, and community integration required to foster effective learning environments. By analyzing current trends in urban education in Queensland’s capital city, this paper argues that the modern secondary teacher must act not only as an instructor but also as a cultural mediator, mentor, and collaborative leader.</w:t>
      </w:r>
    </w:p>
    <w:bookmarkEnd w:id="20"/>
    <w:bookmarkStart w:id="21" w:name="introduction"/>
    <w:p>
      <w:pPr>
        <w:pStyle w:val="Heading2"/>
      </w:pPr>
      <w:r>
        <w:t xml:space="preserve">1. Introduction</w:t>
      </w:r>
    </w:p>
    <w:p>
      <w:pPr>
        <w:pStyle w:val="FirstParagraph"/>
      </w:pPr>
      <w:r>
        <w:t xml:space="preserve">The landscape of secondary education in Australia has undergone significant transformation over the past decade. Nowhere is this more evident than in Australia Brisbane, a rapidly growing metropolitan hub characterized by cultural diversity, economic disparity, and innovative educational initiatives. The concept of the Teacher Secondary in this region extends far beyond traditional classroom instruction. It encompasses a complex web of responsibilities including curriculum implementation, student welfare management, and community liaison.</w:t>
      </w:r>
    </w:p>
    <w:p>
      <w:pPr>
        <w:pStyle w:val="BodyText"/>
      </w:pPr>
      <w:r>
        <w:t xml:space="preserve">Brisbane’s unique position as a gateway to the Asia-Pacific region influences its schools significantly. Students in Brisbane classrooms often come from varied linguistic and cultural backgrounds, necessitating that secondary teachers possess high levels of cultural competence. This paper aims to delineate the core competencies required for a Teacher Secondary in Australia Brisbane, analyzing how local policies and global educational trends intersect to shape professional practice.</w:t>
      </w:r>
    </w:p>
    <w:bookmarkEnd w:id="21"/>
    <w:bookmarkStart w:id="24" w:name="X1cd310020d0dd981076696f4aa8933afa95530f"/>
    <w:p>
      <w:pPr>
        <w:pStyle w:val="Heading2"/>
      </w:pPr>
      <w:r>
        <w:t xml:space="preserve">2. The Context of Secondary Education in Australia Brisbane</w:t>
      </w:r>
    </w:p>
    <w:bookmarkStart w:id="22" w:name="demographic-diversity"/>
    <w:p>
      <w:pPr>
        <w:pStyle w:val="Heading3"/>
      </w:pPr>
      <w:r>
        <w:t xml:space="preserve">2.1 Demographic Diversity</w:t>
      </w:r>
    </w:p>
    <w:p>
      <w:pPr>
        <w:pStyle w:val="FirstParagraph"/>
      </w:pPr>
      <w:r>
        <w:t xml:space="preserve">Australia Brisbane is home to a highly diverse population, with a significant proportion of students identifying as Indigenous Australians or coming from non-English speaking backgrounds (NESB). For the Teacher Secondary, this diversity requires an adaptive pedagogical approach. Standardized teaching methods often fail to address the nuanced needs of such varied groups. Instead, teachers must employ differentiated instruction that respects cultural identities while ensuring alignment with national standards.</w:t>
      </w:r>
    </w:p>
    <w:bookmarkEnd w:id="22"/>
    <w:bookmarkStart w:id="23" w:name="Xfad82494aaeb6123bed0205e7d5a2c9dae50025"/>
    <w:p>
      <w:pPr>
        <w:pStyle w:val="Heading3"/>
      </w:pPr>
      <w:r>
        <w:t xml:space="preserve">2.2 The Australian Curriculum and Queensland Standards</w:t>
      </w:r>
    </w:p>
    <w:p>
      <w:pPr>
        <w:pStyle w:val="FirstParagraph"/>
      </w:pPr>
      <w:r>
        <w:t xml:space="preserve">In Australia Brisbane, secondary education is governed by the Australian Curriculum and assessed through the Queensland Certificate of Education (QCE). This framework places immense pressure on teachers to balance content delivery with competency-based learning outcomes. The Teacher Secondary must navigate these rigorous standards while maintaining student engagement. The shift towards interdisciplinary learning in recent years demands that educators collaborate across subjects, breaking down traditional silos between disciplines such as science, humanities, and arts.</w:t>
      </w:r>
    </w:p>
    <w:bookmarkEnd w:id="23"/>
    <w:bookmarkEnd w:id="24"/>
    <w:bookmarkStart w:id="27" w:name="X36909cc387eacfe8efd9a52cc1f17f45f73d23c"/>
    <w:p>
      <w:pPr>
        <w:pStyle w:val="Heading2"/>
      </w:pPr>
      <w:r>
        <w:t xml:space="preserve">3. Pedagogical Strategies for the Modern Teacher Secondary</w:t>
      </w:r>
    </w:p>
    <w:bookmarkStart w:id="25" w:name="inclusive-pedagogy"/>
    <w:p>
      <w:pPr>
        <w:pStyle w:val="Heading3"/>
      </w:pPr>
      <w:r>
        <w:t xml:space="preserve">3.1 Inclusive Pedagogy</w:t>
      </w:r>
    </w:p>
    <w:p>
      <w:pPr>
        <w:pStyle w:val="FirstParagraph"/>
      </w:pPr>
      <w:r>
        <w:t xml:space="preserve">Inclusivity is not merely a buzzword in Brisbane schools; it is a legislative and moral imperative. The Teacher Secondary must ensure that learning materials are accessible to students with disabilities, those with learning difficulties, and gifted learners alike. This involves the integration of assistive technologies and Universal Design for Learning (UDL) principles. For instance, providing digital resources that support diverse reading levels allows all students in a Brisbane secondary classroom to access the same core content.</w:t>
      </w:r>
    </w:p>
    <w:bookmarkEnd w:id="25"/>
    <w:bookmarkStart w:id="26" w:name="technology-integration"/>
    <w:p>
      <w:pPr>
        <w:pStyle w:val="Heading3"/>
      </w:pPr>
      <w:r>
        <w:t xml:space="preserve">3.2 Technology Integration</w:t>
      </w:r>
    </w:p>
    <w:p>
      <w:pPr>
        <w:pStyle w:val="FirstParagraph"/>
      </w:pPr>
      <w:r>
        <w:t xml:space="preserve">Brisbane has been at the forefront of educational technology integration in Australia. From one-to-one device programs to sophisticated virtual reality labs, schools are increasingly digital. The role of the Teacher Secondary now includes being a digital mentor. Educators must guide students in critical online literacy, ensuring they can navigate information responsibly while leveraging technology to enhance collaborative learning.</w:t>
      </w:r>
    </w:p>
    <w:bookmarkEnd w:id="26"/>
    <w:bookmarkEnd w:id="27"/>
    <w:bookmarkStart w:id="30" w:name="X4e59c1ee6e1fef4b667ae039e84e2c47b047af9"/>
    <w:p>
      <w:pPr>
        <w:pStyle w:val="Heading2"/>
      </w:pPr>
      <w:r>
        <w:t xml:space="preserve">4. Professional Responsibilities and Well-being</w:t>
      </w:r>
    </w:p>
    <w:bookmarkStart w:id="28" w:name="student-welfare-and-mental-health"/>
    <w:p>
      <w:pPr>
        <w:pStyle w:val="Heading3"/>
      </w:pPr>
      <w:r>
        <w:t xml:space="preserve">4.1 Student Welfare and Mental Health</w:t>
      </w:r>
    </w:p>
    <w:p>
      <w:pPr>
        <w:pStyle w:val="FirstParagraph"/>
      </w:pPr>
      <w:r>
        <w:t xml:space="preserve">A pressing concern for secondary schools in Australia Brisbane is student mental health. Post-pandemic, teachers have reported increased anxiety and behavioral challenges among students. Consequently, the Teacher Secondary often assumes the role of a first responder for psychological distress. Professional development in trauma-informed practices is now essential for educators working in this sector.</w:t>
      </w:r>
    </w:p>
    <w:bookmarkEnd w:id="28"/>
    <w:bookmarkStart w:id="29" w:name="continuous-professional-development-cpd"/>
    <w:p>
      <w:pPr>
        <w:pStyle w:val="Heading3"/>
      </w:pPr>
      <w:r>
        <w:t xml:space="preserve">4.2 Continuous Professional Development (CPD)</w:t>
      </w:r>
    </w:p>
    <w:p>
      <w:pPr>
        <w:pStyle w:val="FirstParagraph"/>
      </w:pPr>
      <w:r>
        <w:t xml:space="preserve">To maintain high standards, teachers must engage in lifelong learning. In Australia Brisbane, professional networks such as the Queensland College of Teachers mandate ongoing registration requirements. These require teachers to reflect on their practice, seek feedback from peers, and stay updated with educational research. This commitment to growth ensures that the Teacher Secondary remains relevant and effective in a rapidly changing world.</w:t>
      </w:r>
    </w:p>
    <w:bookmarkEnd w:id="29"/>
    <w:bookmarkEnd w:id="30"/>
    <w:bookmarkStart w:id="31" w:name="community-engagement-and-partnership"/>
    <w:p>
      <w:pPr>
        <w:pStyle w:val="Heading2"/>
      </w:pPr>
      <w:r>
        <w:t xml:space="preserve">5. Community Engagement and Partnership</w:t>
      </w:r>
    </w:p>
    <w:p>
      <w:pPr>
        <w:pStyle w:val="FirstParagraph"/>
      </w:pPr>
      <w:r>
        <w:t xml:space="preserve">The effectiveness of a Teacher Secondary is heavily dependent on strong home-school-community partnerships. In Brisbane, many schools serve as community hubs, offering services beyond academic instruction. Teachers are expected to communicate regularly with parents, often from diverse cultural backgrounds, requiring strong interpersonal and translation skills where necessary. Engaging local businesses and Indigenous communities can provide authentic learning opportunities for students, bridging the gap between classroom theory and real-world application.</w:t>
      </w:r>
    </w:p>
    <w:bookmarkEnd w:id="31"/>
    <w:bookmarkStart w:id="32" w:name="conclusion"/>
    <w:p>
      <w:pPr>
        <w:pStyle w:val="Heading2"/>
      </w:pPr>
      <w:r>
        <w:t xml:space="preserve">6. Conclusion</w:t>
      </w:r>
    </w:p>
    <w:p>
      <w:pPr>
        <w:pStyle w:val="FirstParagraph"/>
      </w:pPr>
      <w:r>
        <w:t xml:space="preserve">In conclusion, the role of the Teacher Secondary in Australia Brisbane is dynamic, demanding, and vital. It requires a professional who is not only an expert in their subject matter but also a skilled facilitator of diverse learning needs, a guardian of student well-being, and an active community member. As Brisbane continues to grow as a multicultural economic powerhouse, its educational institutions must reflect this vibrancy through inclusive and innovative teaching practices. Future research should focus on longitudinal studies regarding the impact of specific pedagogical interventions on secondary outcomes in urban Australian settings.</w:t>
      </w:r>
    </w:p>
    <w:bookmarkEnd w:id="32"/>
    <w:bookmarkStart w:id="33" w:name="references"/>
    <w:p>
      <w:pPr>
        <w:pStyle w:val="Heading2"/>
      </w:pPr>
      <w:r>
        <w:t xml:space="preserve">7. References</w:t>
      </w:r>
    </w:p>
    <w:p>
      <w:pPr>
        <w:numPr>
          <w:ilvl w:val="0"/>
          <w:numId w:val="1001"/>
        </w:numPr>
        <w:pStyle w:val="Compact"/>
      </w:pPr>
      <w:r>
        <w:t xml:space="preserve">Australian Curriculum, Assessment and Reporting Authority (ACARA). (2023).</w:t>
      </w:r>
      <w:r>
        <w:t xml:space="preserve"> </w:t>
      </w:r>
      <w:r>
        <w:rPr>
          <w:iCs/>
          <w:i/>
        </w:rPr>
        <w:t xml:space="preserve">The Australian Curriculum: Version 9.0</w:t>
      </w:r>
      <w:r>
        <w:t xml:space="preserve">. Sydney: ACARA.</w:t>
      </w:r>
    </w:p>
    <w:p>
      <w:pPr>
        <w:numPr>
          <w:ilvl w:val="0"/>
          <w:numId w:val="1001"/>
        </w:numPr>
        <w:pStyle w:val="Compact"/>
      </w:pPr>
      <w:r>
        <w:t xml:space="preserve">Brisbane City Council. (2022).</w:t>
      </w:r>
      <w:r>
        <w:t xml:space="preserve"> </w:t>
      </w:r>
      <w:r>
        <w:rPr>
          <w:iCs/>
          <w:i/>
        </w:rPr>
        <w:t xml:space="preserve">Social Plan 2031: Creating a Vibrant and Connected Brisbane</w:t>
      </w:r>
      <w:r>
        <w:t xml:space="preserve">. Brisbane: BCC.</w:t>
      </w:r>
    </w:p>
    <w:p>
      <w:pPr>
        <w:numPr>
          <w:ilvl w:val="0"/>
          <w:numId w:val="1001"/>
        </w:numPr>
        <w:pStyle w:val="Compact"/>
      </w:pPr>
      <w:r>
        <w:t xml:space="preserve">Department of Education Queensland. (2021).</w:t>
      </w:r>
      <w:r>
        <w:t xml:space="preserve"> </w:t>
      </w:r>
      <w:r>
        <w:rPr>
          <w:iCs/>
          <w:i/>
        </w:rPr>
        <w:t xml:space="preserve">Towards Top Quality Teaching in Queensland Schools</w:t>
      </w:r>
      <w:r>
        <w:t xml:space="preserve">. Brisbane: State of Queensland.</w:t>
      </w:r>
    </w:p>
    <w:p>
      <w:pPr>
        <w:numPr>
          <w:ilvl w:val="0"/>
          <w:numId w:val="1001"/>
        </w:numPr>
        <w:pStyle w:val="Compact"/>
      </w:pPr>
      <w:r>
        <w:t xml:space="preserve">Gale, T., &amp; Parker, S. (2018). "Secondary Teacher Identity and Professionalism in the 21st Century."</w:t>
      </w:r>
      <w:r>
        <w:t xml:space="preserve"> </w:t>
      </w:r>
      <w:r>
        <w:rPr>
          <w:iCs/>
          <w:i/>
        </w:rPr>
        <w:t xml:space="preserve">Australian Journal of Teacher Education</w:t>
      </w:r>
      <w:r>
        <w:t xml:space="preserve">, 43(5), 1-20.</w:t>
      </w:r>
    </w:p>
    <w:p>
      <w:pPr>
        <w:numPr>
          <w:ilvl w:val="0"/>
          <w:numId w:val="1001"/>
        </w:numPr>
        <w:pStyle w:val="Compact"/>
      </w:pPr>
      <w:r>
        <w:t xml:space="preserve">Queensland College of Teachers. (2023).</w:t>
      </w:r>
      <w:r>
        <w:t xml:space="preserve"> </w:t>
      </w:r>
      <w:r>
        <w:rPr>
          <w:iCs/>
          <w:i/>
        </w:rPr>
        <w:t xml:space="preserve">National Practice Standards for the Teaching Profession</w:t>
      </w:r>
      <w:r>
        <w:t xml:space="preserve">. Brisbane: QCT.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Dynamics of Teacher Secondary in Australia Brisbane</dc:title>
  <dc:creator/>
  <dc:language>en</dc:language>
  <cp:keywords/>
  <dcterms:created xsi:type="dcterms:W3CDTF">2026-07-29T13:26:29Z</dcterms:created>
  <dcterms:modified xsi:type="dcterms:W3CDTF">2026-07-29T13:26:29Z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