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6" w:name="X1afdf95c30b0b7993b2f8d945d398dea9851871"/>
    <w:p>
      <w:pPr>
        <w:pStyle w:val="Heading1"/>
      </w:pPr>
      <w:r>
        <w:t xml:space="preserve">A Strategic Analysis of the Secondary Teacher Workforce in Iran, Tehran</w:t>
      </w:r>
    </w:p>
    <w:p>
      <w:pPr>
        <w:pStyle w:val="FirstParagraph"/>
      </w:pPr>
      <w:r>
        <w:br/>
      </w:r>
      <w:r>
        <w:br/>
      </w:r>
      <w:r>
        <w:br/>
      </w:r>
    </w:p>
    <w:p>
      <w:pPr>
        <w:pStyle w:val="BodyText"/>
      </w:pPr>
      <w:r>
        <w:t xml:space="preserve">The educational landscape in</w:t>
      </w:r>
      <w:r>
        <w:t xml:space="preserve"> </w:t>
      </w:r>
      <w:r>
        <w:rPr>
          <w:bCs/>
          <w:b/>
        </w:rPr>
        <w:t xml:space="preserve">Tehran</w:t>
      </w:r>
      <w:r>
        <w:t xml:space="preserve">, the capital of Iran, is characterized by a dynamic and often high-pressure academic environment. Within this context, the role of the</w:t>
      </w:r>
      <w:r>
        <w:t xml:space="preserve"> </w:t>
      </w:r>
      <w:r>
        <w:rPr>
          <w:bCs/>
          <w:b/>
        </w:rPr>
        <w:t xml:space="preserve">Teacher Secondary</w:t>
      </w:r>
      <w:r>
        <w:t xml:space="preserve"> </w:t>
      </w:r>
      <w:r>
        <w:t xml:space="preserve">emerges not merely as a pedagogical function but as a critical societal pillar. This research paper aims to explore the multifaceted challenges and opportunities facing secondary educators in Tehran today, examining systemic pressures, socio-economic dynamics, and future policy implications.</w:t>
      </w:r>
    </w:p>
    <w:p>
      <w:pPr>
        <w:pStyle w:val="BodyText"/>
      </w:pPr>
      <w:r>
        <w:t xml:space="preserve">The demographic reality of</w:t>
      </w:r>
      <w:r>
        <w:t xml:space="preserve"> </w:t>
      </w:r>
      <w:r>
        <w:rPr>
          <w:bCs/>
          <w:b/>
        </w:rPr>
        <w:t xml:space="preserve">Tehran</w:t>
      </w:r>
      <w:r>
        <w:t xml:space="preserve"> </w:t>
      </w:r>
      <w:r>
        <w:t xml:space="preserve">significantly influences educational needs. As one of the most densely populated urban centers in the Middle East, it hosts a student population that is both large and increasingly diverse. This concentration necessitates a robust secondary education infrastructure, placing immense demand on qualified</w:t>
      </w:r>
      <w:r>
        <w:t xml:space="preserve"> </w:t>
      </w:r>
      <w:r>
        <w:rPr>
          <w:bCs/>
          <w:b/>
        </w:rPr>
        <w:t xml:space="preserve">Teacher Secondary</w:t>
      </w:r>
      <w:r>
        <w:t xml:space="preserve"> </w:t>
      </w:r>
      <w:r>
        <w:t xml:space="preserve">professionals to manage large class sizes while maintaining educational quality.</w:t>
      </w:r>
    </w:p>
    <w:p>
      <w:pPr>
        <w:pStyle w:val="BodyText"/>
      </w:pPr>
      <w:r>
        <w:br/>
      </w:r>
      <w:r>
        <w:br/>
      </w:r>
      <w:r>
        <w:br/>
      </w:r>
    </w:p>
    <w:bookmarkStart w:id="20" w:name="educational-landscape-in-tehran"/>
    <w:p>
      <w:pPr>
        <w:pStyle w:val="Heading2"/>
      </w:pPr>
      <w:r>
        <w:t xml:space="preserve">Educational Landscape in Tehran</w:t>
      </w:r>
    </w:p>
    <w:p>
      <w:pPr>
        <w:pStyle w:val="FirstParagraph"/>
      </w:pPr>
      <w:r>
        <w:t xml:space="preserve">The primary school system in Iran is universal and free; however, the transition to secondary education brings significant academic stratification. In</w:t>
      </w:r>
      <w:r>
        <w:t xml:space="preserve"> </w:t>
      </w:r>
      <w:r>
        <w:rPr>
          <w:bCs/>
          <w:b/>
        </w:rPr>
        <w:t xml:space="preserve">Tehran</w:t>
      </w:r>
      <w:r>
        <w:t xml:space="preserve">, competition for university admission—particularly at prestigious institutions like the University of Tehran or Sharif University—is fierce. Consequently, students are heavily reliant on supplementary education (tutors) alongside their school hours.</w:t>
      </w:r>
    </w:p>
    <w:p>
      <w:pPr>
        <w:pStyle w:val="BodyText"/>
      </w:pPr>
      <w:r>
        <w:t xml:space="preserve">In this high-stakes environment, the role of the</w:t>
      </w:r>
      <w:r>
        <w:t xml:space="preserve"> </w:t>
      </w:r>
      <w:r>
        <w:rPr>
          <w:bCs/>
          <w:b/>
        </w:rPr>
        <w:t xml:space="preserve">Teacher Secondary</w:t>
      </w:r>
      <w:r>
        <w:t xml:space="preserve"> </w:t>
      </w:r>
      <w:r>
        <w:t xml:space="preserve">is often overshadowed by private tutoring markets. Despite these challenges, public and state-affiliated schools in Tehran remain vital for social equity. The challenge for secondary educators lies not only in delivering curriculum content but also in motivating students within a competitive atmosphere where success is often measured solely by standardized test scores.</w:t>
      </w:r>
    </w:p>
    <w:p>
      <w:pPr>
        <w:pStyle w:val="BodyText"/>
      </w:pPr>
      <w:r>
        <w:br/>
      </w:r>
      <w:r>
        <w:br/>
      </w:r>
      <w:r>
        <w:br/>
      </w:r>
    </w:p>
    <w:bookmarkEnd w:id="20"/>
    <w:bookmarkStart w:id="21" w:name="challenges-facing-secondary-teachers"/>
    <w:p>
      <w:pPr>
        <w:pStyle w:val="Heading2"/>
      </w:pPr>
      <w:r>
        <w:t xml:space="preserve">Challenges Facing Secondary Teachers</w:t>
      </w:r>
    </w:p>
    <w:p>
      <w:pPr>
        <w:pStyle w:val="FirstParagraph"/>
      </w:pPr>
      <w:r>
        <w:t xml:space="preserve">The professional experience of a</w:t>
      </w:r>
      <w:r>
        <w:t xml:space="preserve"> </w:t>
      </w:r>
      <w:r>
        <w:rPr>
          <w:bCs/>
          <w:b/>
        </w:rPr>
        <w:t xml:space="preserve">Teacher Secondary</w:t>
      </w:r>
      <w:r>
        <w:t xml:space="preserve"> </w:t>
      </w:r>
      <w:r>
        <w:t xml:space="preserve">in Tehran is defined by several systemic hurdles:</w:t>
      </w:r>
    </w:p>
    <w:p>
      <w:pPr>
        <w:numPr>
          <w:ilvl w:val="0"/>
          <w:numId w:val="1001"/>
        </w:numPr>
        <w:pStyle w:val="Compact"/>
      </w:pPr>
      <w:r>
        <w:rPr>
          <w:bCs/>
          <w:b/>
        </w:rPr>
        <w:t xml:space="preserve">Inflation and Economic Pressures:</w:t>
      </w:r>
      <w:r>
        <w:t xml:space="preserve"> Like many sectors in Iran, educators face financial strain due to high inflation. This impacts recruitment, as bright graduates may choose careers with higher earning potential.</w:t>
      </w:r>
    </w:p>
    <w:p>
      <w:pPr>
        <w:numPr>
          <w:ilvl w:val="0"/>
          <w:numId w:val="1001"/>
        </w:numPr>
        <w:pStyle w:val="Compact"/>
      </w:pPr>
      <w:r>
        <w:t xml:space="preserve">Workload and Class Sizes: </w:t>
      </w:r>
      <w:r>
        <w:t xml:space="preserve">In</w:t>
      </w:r>
      <w:r>
        <w:t xml:space="preserve"> </w:t>
      </w:r>
      <w:r>
        <w:rPr>
          <w:bCs/>
          <w:b/>
        </w:rPr>
        <w:t xml:space="preserve">Tehran</w:t>
      </w:r>
      <w:r>
        <w:t xml:space="preserve">, average class sizes often exceed 30 to 40 students. For a</w:t>
      </w:r>
      <w:r>
        <w:t xml:space="preserve"> </w:t>
      </w:r>
      <w:r>
        <w:rPr>
          <w:bCs/>
          <w:b/>
        </w:rPr>
        <w:t xml:space="preserve">Teacher Secondary</w:t>
      </w:r>
      <w:r>
        <w:t xml:space="preserve">, providing individualized attention or detailed feedback is physically difficult.</w:t>
      </w:r>
    </w:p>
    <w:p>
      <w:pPr>
        <w:numPr>
          <w:ilvl w:val="0"/>
          <w:numId w:val="1001"/>
        </w:numPr>
        <w:pStyle w:val="Compact"/>
      </w:pPr>
      <w:r>
        <w:rPr>
          <w:bCs/>
          <w:b/>
        </w:rPr>
        <w:t xml:space="preserve">Evolving Curriculum:</w:t>
      </w:r>
      <w:r>
        <w:t xml:space="preserve"> The Iranian Ministry of Education periodically updates curricula, particularly in sciences and technology. Teachers must continuously adapt their methodologies to meet new academic standards while managing existing pedagogical constraints.</w:t>
      </w:r>
    </w:p>
    <w:p>
      <w:pPr>
        <w:pStyle w:val="FirstParagraph"/>
      </w:pPr>
      <w:r>
        <w:br/>
      </w:r>
      <w:r>
        <w:br/>
      </w:r>
    </w:p>
    <w:bookmarkEnd w:id="21"/>
    <w:bookmarkStart w:id="22" w:name="X2bf6df8d2fc8d1712edfb54eb29a98f362fb3ac"/>
    <w:p>
      <w:pPr>
        <w:pStyle w:val="Heading2"/>
      </w:pPr>
      <w:r>
        <w:t xml:space="preserve">The Impact of Technology and Digital Transformation</w:t>
      </w:r>
    </w:p>
    <w:p>
      <w:pPr>
        <w:pStyle w:val="FirstParagraph"/>
      </w:pPr>
      <w:r>
        <w:t xml:space="preserve">The introduction of digital learning platforms has significantly altered the</w:t>
      </w:r>
      <w:r>
        <w:t xml:space="preserve"> </w:t>
      </w:r>
      <w:r>
        <w:rPr>
          <w:bCs/>
          <w:b/>
        </w:rPr>
        <w:t xml:space="preserve">Tehran</w:t>
      </w:r>
      <w:r>
        <w:t xml:space="preserve"> </w:t>
      </w:r>
      <w:r>
        <w:t xml:space="preserve">educational landscape, especially post-pandemic. A modern</w:t>
      </w:r>
      <w:r>
        <w:t xml:space="preserve"> </w:t>
      </w:r>
      <w:r>
        <w:rPr>
          <w:bCs/>
          <w:b/>
        </w:rPr>
        <w:t xml:space="preserve">Teacher Secondary</w:t>
      </w:r>
      <w:r>
        <w:t xml:space="preserve"> must now be proficient in hybrid teaching tools, integrating online assessments and digital resources into their lesson plans.</w:t>
      </w:r>
    </w:p>
    <w:p>
      <w:pPr>
        <w:pStyle w:val="BodyText"/>
      </w:pPr>
      <w:r>
        <w:br/>
      </w:r>
      <w:r>
        <w:br/>
      </w:r>
      <w:r>
        <w:br/>
      </w:r>
    </w:p>
    <w:p>
      <w:pPr>
        <w:pStyle w:val="BodyText"/>
      </w:pPr>
      <w:r>
        <w:t xml:space="preserve">This technological shift offers opportunities for personalized learning but also requires ongoing professional development. Schools in affluent districts of Tehran often provide the necessary infrastructure, whereas schools in outer regions face a "digital divide." Bridging this gap remains a primary objective for educational policymakers aiming to ensure equitable quality across all</w:t>
      </w:r>
      <w:r>
        <w:t xml:space="preserve"> </w:t>
      </w:r>
      <w:r>
        <w:rPr>
          <w:bCs/>
          <w:b/>
        </w:rPr>
        <w:t xml:space="preserve">Tehran</w:t>
      </w:r>
      <w:r>
        <w:t xml:space="preserve"> secondary education centers.</w:t>
      </w:r>
    </w:p>
    <w:p>
      <w:pPr>
        <w:pStyle w:val="BodyText"/>
      </w:pPr>
      <w:r>
        <w:br/>
      </w:r>
      <w:r>
        <w:br/>
      </w:r>
    </w:p>
    <w:bookmarkEnd w:id="22"/>
    <w:bookmarkStart w:id="23" w:name="X07086f4928e1b3ff40a74742865e98f3248ab0c"/>
    <w:p>
      <w:pPr>
        <w:pStyle w:val="Heading2"/>
      </w:pPr>
      <w:r>
        <w:t xml:space="preserve">Socio-Psychological Dynamics of Adolescence</w:t>
      </w:r>
    </w:p>
    <w:p>
      <w:pPr>
        <w:pStyle w:val="FirstParagraph"/>
      </w:pPr>
      <w:r>
        <w:t xml:space="preserve">In Tehran, adolescence is a period marked by cultural transitions. The youth population navigates traditional values alongside global digital influences. Therefore, the role of the</w:t>
      </w:r>
      <w:r>
        <w:t xml:space="preserve"> </w:t>
      </w:r>
      <w:r>
        <w:rPr>
          <w:bCs/>
          <w:b/>
        </w:rPr>
        <w:t xml:space="preserve">Teacher Secondary</w:t>
      </w:r>
      <w:r>
        <w:t xml:space="preserve"> extends beyond academics to include guidance and mentorship.</w:t>
      </w:r>
    </w:p>
    <w:p>
      <w:pPr>
        <w:numPr>
          <w:ilvl w:val="0"/>
          <w:numId w:val="1002"/>
        </w:numPr>
        <w:pStyle w:val="Compact"/>
      </w:pPr>
      <w:r>
        <w:t xml:space="preserve">Social Cohesion: </w:t>
      </w:r>
      <w:r>
        <w:t xml:space="preserve">Teachers are often expected to foster national identity and cultural continuity while promoting critical thinking skills in students.</w:t>
      </w:r>
    </w:p>
    <w:p>
      <w:pPr>
        <w:numPr>
          <w:ilvl w:val="0"/>
          <w:numId w:val="1002"/>
        </w:numPr>
        <w:pStyle w:val="Compact"/>
      </w:pPr>
      <w:r>
        <w:t xml:space="preserve">Mental Health Awareness: The mental health of adolescents in</w:t>
      </w:r>
      <w:r>
        <w:t xml:space="preserve"> </w:t>
      </w:r>
      <w:r>
        <w:rPr>
          <w:bCs/>
          <w:b/>
        </w:rPr>
        <w:t xml:space="preserve">Tehran</w:t>
      </w:r>
      <w:r>
        <w:t xml:space="preserve"> is an emerging concern. Secondary educators frequently act as the first line of support, identifying anxiety or depression among students and facilitating access to psychological services within the school system.</w:t>
      </w:r>
    </w:p>
    <w:p>
      <w:pPr>
        <w:pStyle w:val="FirstParagraph"/>
      </w:pPr>
      <w:r>
        <w:br/>
      </w:r>
      <w:r>
        <w:br/>
      </w:r>
      <w:r>
        <w:br/>
      </w:r>
    </w:p>
    <w:bookmarkEnd w:id="23"/>
    <w:bookmarkStart w:id="24" w:name="X18c5814cda234e71b5442a3b7d6f2005d583dca"/>
    <w:p>
      <w:pPr>
        <w:pStyle w:val="Heading2"/>
      </w:pPr>
      <w:r>
        <w:t xml:space="preserve">Strategic Recommendations for Future Policy</w:t>
      </w:r>
    </w:p>
    <w:p>
      <w:pPr>
        <w:pStyle w:val="FirstParagraph"/>
      </w:pPr>
      <w:r>
        <w:t xml:space="preserve">To strengthen the secondary education sector in</w:t>
      </w:r>
      <w:r>
        <w:t xml:space="preserve"> </w:t>
      </w:r>
      <w:r>
        <w:rPr>
          <w:bCs/>
          <w:b/>
        </w:rPr>
        <w:t xml:space="preserve">Tehran</w:t>
      </w:r>
      <w:r>
        <w:t xml:space="preserve">, several strategic actions are recommended:</w:t>
      </w:r>
    </w:p>
    <w:p>
      <w:pPr>
        <w:numPr>
          <w:ilvl w:val="0"/>
          <w:numId w:val="1003"/>
        </w:numPr>
        <w:pStyle w:val="Compact"/>
      </w:pPr>
      <w:r>
        <w:t xml:space="preserve">Incentivizing Professional Development: </w:t>
      </w:r>
      <w:r>
        <w:t xml:space="preserve">Policies must provide continuous training for</w:t>
      </w:r>
      <w:r>
        <w:t xml:space="preserve"> </w:t>
      </w:r>
      <w:r>
        <w:rPr>
          <w:bCs/>
          <w:b/>
        </w:rPr>
        <w:t xml:space="preserve">Teacher Secondary</w:t>
      </w:r>
      <w:r>
        <w:t xml:space="preserve"> professionals, focusing on modern pedagogy, classroom management in large settings, and digital integration.</w:t>
      </w:r>
    </w:p>
    <w:p>
      <w:pPr>
        <w:numPr>
          <w:ilvl w:val="0"/>
          <w:numId w:val="1003"/>
        </w:numPr>
        <w:pStyle w:val="Compact"/>
      </w:pPr>
      <w:r>
        <w:t xml:space="preserve">Socio-Economic Support: Improving the financial remuneration of educators will enhance the profession's prestige. Competitive salaries are essential to attract top talent in</w:t>
      </w:r>
      <w:r>
        <w:t xml:space="preserve"> </w:t>
      </w:r>
      <w:r>
        <w:rPr>
          <w:bCs/>
          <w:b/>
        </w:rPr>
        <w:t xml:space="preserve">Tehran</w:t>
      </w:r>
      <w:r>
        <w:t xml:space="preserve">'s competitive job market.</w:t>
      </w:r>
      <w:r>
        <w:br/>
      </w:r>
    </w:p>
    <w:p>
      <w:pPr>
        <w:numPr>
          <w:ilvl w:val="0"/>
          <w:numId w:val="1003"/>
        </w:numPr>
        <w:pStyle w:val="Compact"/>
      </w:pPr>
      <w:r>
        <w:t xml:space="preserve">Promoting Interdisciplinary Teaching: Encouraging collaborative teaching models can alleviate workload and provide students with diverse perspectives, particularly in science and mathematics.</w:t>
      </w:r>
    </w:p>
    <w:p>
      <w:pPr>
        <w:pStyle w:val="FirstParagraph"/>
      </w:pPr>
      <w:r>
        <w:br/>
      </w:r>
      <w:r>
        <w:br/>
      </w:r>
    </w:p>
    <w:bookmarkEnd w:id="24"/>
    <w:bookmarkStart w:id="25" w:name="conclusion"/>
    <w:p>
      <w:pPr>
        <w:pStyle w:val="Heading2"/>
      </w:pPr>
      <w:r>
        <w:t xml:space="preserve">Conclusion</w:t>
      </w:r>
    </w:p>
    <w:p>
      <w:pPr>
        <w:pStyle w:val="FirstParagraph"/>
      </w:pPr>
      <w:r>
        <w:t xml:space="preserve">The secondary education system in</w:t>
      </w:r>
      <w:r>
        <w:t xml:space="preserve"> </w:t>
      </w:r>
      <w:r>
        <w:rPr>
          <w:bCs/>
          <w:b/>
        </w:rPr>
        <w:t xml:space="preserve">Tehran</w:t>
      </w:r>
      <w:r>
        <w:t xml:space="preserve"> is a complex ecosystem that requires robust support for its educators. The</w:t>
      </w:r>
      <w:r>
        <w:t xml:space="preserve"> </w:t>
      </w:r>
      <w:r>
        <w:rPr>
          <w:bCs/>
          <w:b/>
        </w:rPr>
        <w:t xml:space="preserve">Teacher Secondary</w:t>
      </w:r>
      <w:r>
        <w:t xml:space="preserve"> is central to this framework, tasked with shaping the next generation of Iran's leaders, scientists, and thinkers. By acknowledging the unique challenges—ranging from economic pressures to rapid technological changes—and implementing targeted policy reforms, policymakers can ensure that secondary education in</w:t>
      </w:r>
      <w:r>
        <w:t xml:space="preserve"> </w:t>
      </w:r>
      <w:r>
        <w:rPr>
          <w:bCs/>
          <w:b/>
        </w:rPr>
        <w:t xml:space="preserve">Tehran</w:t>
      </w:r>
      <w:r>
        <w:t xml:space="preserve"> remains a beacon of academic excellence and social stability.</w:t>
      </w:r>
    </w:p>
    <w:p>
      <w:pPr>
        <w:pStyle w:val="BodyText"/>
      </w:pPr>
      <w:r>
        <w:br/>
      </w:r>
      <w:r>
        <w:br/>
      </w:r>
    </w:p>
    <w:p>
      <w:pPr>
        <w:pStyle w:val="BodyText"/>
      </w:pPr>
      <w:r>
        <w:t xml:space="preserve">Future research should focus on longitudinal studies regarding teacher retention rates in</w:t>
      </w:r>
      <w:r>
        <w:t xml:space="preserve"> </w:t>
      </w:r>
      <w:r>
        <w:rPr>
          <w:bCs/>
          <w:b/>
        </w:rPr>
        <w:t xml:space="preserve">Tehran</w:t>
      </w:r>
      <w:r>
        <w:t xml:space="preserve"> and the comparative efficacy of different pedagogical approaches used by secondary educators across varying socio-economic districts.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Teacher Secondary in Iran Tehran</dc:title>
  <dc:creator/>
  <dc:language>en</dc:language>
  <cp:keywords/>
  <dcterms:created xsi:type="dcterms:W3CDTF">2026-07-29T18:57:59Z</dcterms:created>
  <dcterms:modified xsi:type="dcterms:W3CDTF">2026-07-29T18:57:59Z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