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Secondary</w:t>
      </w:r>
      <w:r>
        <w:t xml:space="preserve"> </w:t>
      </w:r>
      <w:r>
        <w:t xml:space="preserve">Teacher</w:t>
      </w:r>
      <w:r>
        <w:t xml:space="preserve"> </w:t>
      </w:r>
      <w:r>
        <w:t xml:space="preserve">Education</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2" w:name="X5294e1a1f877376dd41d1984980689722f06e8c"/>
    <w:p>
      <w:pPr>
        <w:pStyle w:val="Heading1"/>
      </w:pPr>
      <w:r>
        <w:t xml:space="preserve">The Role, Challenges, and Future of the Secondary Teacher in Kuwait City</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Kuwait City Education System</w:t>
      </w:r>
      <w:r>
        <w:br/>
      </w:r>
      <w:r>
        <w:rPr>
          <w:bCs/>
          <w:b/>
        </w:rPr>
        <w:t xml:space="preserve">Type of Document:</w:t>
      </w:r>
    </w:p>
    <w:bookmarkStart w:id="20" w:name="abstract"/>
    <w:p>
      <w:pPr>
        <w:pStyle w:val="Heading3"/>
      </w:pPr>
      <w:r>
        <w:t xml:space="preserve">Abstract</w:t>
      </w:r>
    </w:p>
    <w:p>
      <w:pPr>
        <w:pStyle w:val="FirstParagraph"/>
      </w:pPr>
      <w:r>
        <w:t xml:space="preserve">This research paper explores the multifaceted role of the Secondary Teacher within the educational framework of Kuwait City. As Kuwait pursues its ambitious "New Kuwait" vision, aligned with Vision 2035, the quality and effectiveness of secondary education are paramount. This document analyzes current pedagogical strategies, administrative challenges, cultural considerations for a Secondary Teacher working in this region, and technological integration in classrooms across the capital. It concludes with recommendations for enhancing teacher professional development to ensure that every Secondary Teacher meets international standards while respecting local heritage.</w:t>
      </w:r>
    </w:p>
    <w:bookmarkEnd w:id="20"/>
    <w:p>
      <w:pPr>
        <w:pStyle w:val="BodyText"/>
      </w:pPr>
      <w:r>
        <w:rPr>
          <w:bCs/>
          <w:b/>
        </w:rPr>
        <w:t xml:space="preserve">Keywords:</w:t>
      </w:r>
      <w:r>
        <w:t xml:space="preserve"> </w:t>
      </w:r>
      <w:r>
        <w:t xml:space="preserve">Research Paper, Teacher Secondary, Kuwait City Education System, Vision 2035, Pedagogical Reform.</w:t>
      </w:r>
    </w:p>
    <w:bookmarkStart w:id="21" w:name="i.-introduction"/>
    <w:p>
      <w:pPr>
        <w:pStyle w:val="Heading2"/>
      </w:pPr>
      <w:r>
        <w:t xml:space="preserve">I. Introduction</w:t>
      </w:r>
    </w:p>
    <w:p>
      <w:pPr>
        <w:pStyle w:val="FirstParagraph"/>
      </w:pPr>
      <w:r>
        <w:t xml:space="preserve">Educational systems worldwide are undergoing significant transformation to meet the demands of a rapidly evolving global economy. In the Middle East, few nations have placed as much emphasis on educational reform as Kuwait. Central to this reform is the quality of its human capital, specifically those who stand at the frontlines of education: the Secondary Teacher. This Research Paper focuses specifically on</w:t>
      </w:r>
      <w:r>
        <w:t xml:space="preserve"> </w:t>
      </w:r>
      <w:r>
        <w:rPr>
          <w:bCs/>
          <w:b/>
        </w:rPr>
        <w:t xml:space="preserve">Kuwait City</w:t>
      </w:r>
      <w:r>
        <w:t xml:space="preserve">, which serves not only as a political and commercial hub but also as an educational center for over 12,000 schools nationwide.</w:t>
      </w:r>
    </w:p>
    <w:p>
      <w:pPr>
        <w:pStyle w:val="BodyText"/>
      </w:pPr>
      <w:r>
        <w:t xml:space="preserve">The concept of the "Secondary Teacher" in Kuwait is distinct from that of primary educators or university professors. These professionals are tasked with preparing adolescents (ages 14-18) for critical life transitions, including university entrance examinations (such as the General Secondary Examination), career pathways, and civic responsibility. In a Research Paper context analyzing</w:t>
      </w:r>
      <w:r>
        <w:t xml:space="preserve"> </w:t>
      </w:r>
      <w:r>
        <w:rPr>
          <w:bCs/>
          <w:b/>
        </w:rPr>
        <w:t xml:space="preserve">Kuwait City</w:t>
      </w:r>
      <w:r>
        <w:t xml:space="preserve">, it is essential to understand that these educators operate within a unique socio-cultural framework characterized by high student-to-teacher ratios in certain subjects, bilingual instruction (Arabic and English), and strict adherence to national curriculum guidelines.</w:t>
      </w:r>
    </w:p>
    <w:bookmarkEnd w:id="21"/>
    <w:bookmarkStart w:id="24" w:name="X4f99b0babf92c02694d43fc656cfe30116b4b18"/>
    <w:p>
      <w:pPr>
        <w:pStyle w:val="Heading2"/>
      </w:pPr>
      <w:r>
        <w:t xml:space="preserve">II. The Strategic Importance of the Secondary Teacher in Kuwait City</w:t>
      </w:r>
    </w:p>
    <w:bookmarkStart w:id="22" w:name="a.-alignment-with-vision-2035"/>
    <w:p>
      <w:pPr>
        <w:pStyle w:val="Heading3"/>
      </w:pPr>
      <w:r>
        <w:t xml:space="preserve">A. Alignment with Vision 2035</w:t>
      </w:r>
    </w:p>
    <w:p>
      <w:pPr>
        <w:pStyle w:val="FirstParagraph"/>
      </w:pPr>
      <w:r>
        <w:t xml:space="preserve">Kuwait's "New Kuwait" Vision 2035 outlines four pillars for development: Human Development, Social Cohesion, Financial Stability, and Effective Governance. For the Secondary Teacher in Kuwait City, these pillars translate into specific classroom objectives. A modern Secondary Teacher is no longer just a transmitter of knowledge but a facilitator of critical thinking and digital literacy.</w:t>
      </w:r>
    </w:p>
    <w:p>
      <w:pPr>
        <w:pStyle w:val="BodyText"/>
      </w:pPr>
      <w:r>
        <w:t xml:space="preserve">The Ministry of Education has increasingly mandated that secondary educators incorporate STEM (Science, Technology, Engineering, and Mathematics) competencies early in the curriculum. In the competitive academic environment of Kuwait City, where top-performing students vie for limited university spots locally or abroad, the Secondary Teacher bears significant pressure to produce high-quality results while fostering holistic development.</w:t>
      </w:r>
    </w:p>
    <w:bookmarkEnd w:id="22"/>
    <w:bookmarkStart w:id="23" w:name="b.-cultural-mediation-and-soft-skills"/>
    <w:p>
      <w:pPr>
        <w:pStyle w:val="Heading3"/>
      </w:pPr>
      <w:r>
        <w:t xml:space="preserve">B. Cultural Mediation and Soft Skills</w:t>
      </w:r>
    </w:p>
    <w:p>
      <w:pPr>
        <w:pStyle w:val="FirstParagraph"/>
      </w:pPr>
      <w:r>
        <w:t xml:space="preserve">In this Research Paper on the Secondary Teacher in Kuwait City, we must acknowledge the cultural nuance of teaching. Adolescents in this demographic are navigating a dual identity: maintaining strong traditional Islamic values while engaging with globalized digital cultures. The teacher serves as a mediator. They must navigate issues regarding gender interaction (given that schools are strictly segregated by gender), curriculum content, and moral education.</w:t>
      </w:r>
    </w:p>
    <w:p>
      <w:pPr>
        <w:pStyle w:val="BodyText"/>
      </w:pPr>
      <w:r>
        <w:t xml:space="preserve">Furthermore, the secondary years in Kuwait City involve high-stakes testing. Teachers act as mentors who provide psychological support to students facing immense anxiety related to academic performance. Therefore, emotional intelligence is now considered a core competency for any Secondary Teacher operating in this region.</w:t>
      </w:r>
    </w:p>
    <w:bookmarkEnd w:id="23"/>
    <w:bookmarkEnd w:id="24"/>
    <w:bookmarkStart w:id="28" w:name="X2f70a1036a4925731122d6495a6b5b7883408ae"/>
    <w:p>
      <w:pPr>
        <w:pStyle w:val="Heading2"/>
      </w:pPr>
      <w:r>
        <w:t xml:space="preserve">III. Current Challenges Facing Secondary Educators</w:t>
      </w:r>
    </w:p>
    <w:p>
      <w:pPr>
        <w:pStyle w:val="FirstParagraph"/>
      </w:pPr>
      <w:r>
        <w:t xml:space="preserve">Despite significant funding, the educational landscape in Kuwait City presents several hurdles for the modern secondary educator.</w:t>
      </w:r>
    </w:p>
    <w:bookmarkStart w:id="25" w:name="a.-class-size-and-resource-management"/>
    <w:p>
      <w:pPr>
        <w:pStyle w:val="Heading3"/>
      </w:pPr>
      <w:r>
        <w:t xml:space="preserve">A. Class Size and Resource Management</w:t>
      </w:r>
    </w:p>
    <w:p>
      <w:pPr>
        <w:pStyle w:val="FirstParagraph"/>
      </w:pPr>
      <w:r>
        <w:t xml:space="preserve">In many schools located in high-density areas of Kuwait City, class sizes can exceed 25 to 30 students. For a Secondary Teacher, managing such large groups while attempting to implement inquiry-based learning methods is challenging. Large classes often necessitate a more traditional lecture-style approach ("chalk and talk"), which conflicts with global trends favoring personalized learning.</w:t>
      </w:r>
    </w:p>
    <w:bookmarkEnd w:id="25"/>
    <w:bookmarkStart w:id="26" w:name="b.-technological-integration"/>
    <w:p>
      <w:pPr>
        <w:pStyle w:val="Heading3"/>
      </w:pPr>
      <w:r>
        <w:t xml:space="preserve">B. Technological Integration</w:t>
      </w:r>
    </w:p>
    <w:p>
      <w:pPr>
        <w:pStyle w:val="FirstParagraph"/>
      </w:pPr>
      <w:r>
        <w:t xml:space="preserve">Kuwait City boasts high internet penetration and smartphone usage among youth. However, integrating these technologies into the curriculum effectively requires robust training for teachers. A significant portion of the secondary workforce in Kuwait has historically been trained in traditional methodologies. While the government is actively upgrading smart boards and providing tablets to students, some teachers struggle with pedagogical integration—using technology to enhance learning rather than merely displaying content.</w:t>
      </w:r>
    </w:p>
    <w:bookmarkEnd w:id="26"/>
    <w:bookmarkStart w:id="27" w:name="c.-curriculum-adaptation"/>
    <w:p>
      <w:pPr>
        <w:pStyle w:val="Heading3"/>
      </w:pPr>
      <w:r>
        <w:t xml:space="preserve">C. Curriculum Adaptation</w:t>
      </w:r>
    </w:p>
    <w:p>
      <w:pPr>
        <w:pStyle w:val="FirstParagraph"/>
      </w:pPr>
      <w:r>
        <w:t xml:space="preserve">The national curriculum for secondary education has undergone revisions in recent years. Teachers are constantly required to upskill themselves on new syllabi, particularly in subjects like Computer Science and Environmental Studies, which have been recently elevated to core status.</w:t>
      </w:r>
    </w:p>
    <w:bookmarkEnd w:id="27"/>
    <w:bookmarkEnd w:id="28"/>
    <w:bookmarkStart w:id="29" w:name="X0e7dec63c0015a270cfee64a876deb427db5905"/>
    <w:p>
      <w:pPr>
        <w:pStyle w:val="Heading2"/>
      </w:pPr>
      <w:r>
        <w:t xml:space="preserve">IV. Professional Development and Support Systems</w:t>
      </w:r>
    </w:p>
    <w:p>
      <w:pPr>
        <w:pStyle w:val="FirstParagraph"/>
      </w:pPr>
      <w:r>
        <w:t xml:space="preserve">To address these challenges, the Ministry of Education in Kuwait City has initiated several programs aimed at empowering the Secondary Teacher. This Research Paper identifies three key pillars of support:</w:t>
      </w:r>
    </w:p>
    <w:p>
      <w:pPr>
        <w:numPr>
          <w:ilvl w:val="0"/>
          <w:numId w:val="1001"/>
        </w:numPr>
        <w:pStyle w:val="Compact"/>
      </w:pPr>
      <w:r>
        <w:rPr>
          <w:bCs/>
          <w:b/>
        </w:rPr>
        <w:t xml:space="preserve">In-Service Training Workshops:</w:t>
      </w:r>
      <w:r>
        <w:t xml:space="preserve"> </w:t>
      </w:r>
      <w:r>
        <w:t xml:space="preserve">Regular training sessions are conducted during school terms to update teachers on new pedagogical approaches, assessment techniques, and classroom management strategies.</w:t>
      </w:r>
    </w:p>
    <w:p>
      <w:pPr>
        <w:numPr>
          <w:ilvl w:val="0"/>
          <w:numId w:val="1001"/>
        </w:numPr>
        <w:pStyle w:val="Compact"/>
      </w:pPr>
      <w:r>
        <w:rPr>
          <w:bCs/>
          <w:b/>
        </w:rPr>
        <w:t xml:space="preserve">Mentorship Programs:</w:t>
      </w:r>
      <w:r>
        <w:t xml:space="preserve"> </w:t>
      </w:r>
      <w:r>
        <w:t xml:space="preserve">Experienced educators are paired with newer hires in Kuwait City schools. This peer-to-peer learning model helps bridge the gap between traditional methods and modern educational requirements.</w:t>
      </w:r>
    </w:p>
    <w:p>
      <w:pPr>
        <w:numPr>
          <w:ilvl w:val="0"/>
          <w:numId w:val="1001"/>
        </w:numPr>
        <w:pStyle w:val="Compact"/>
      </w:pPr>
      <w:r>
        <w:rPr>
          <w:bCs/>
          <w:b/>
        </w:rPr>
        <w:t xml:space="preserve">Evaluation Metrics:</w:t>
      </w:r>
      <w:r>
        <w:t xml:space="preserve"> </w:t>
      </w:r>
      <w:r>
        <w:t xml:space="preserve">A new performance evaluation system has been introduced to provide teachers with constructive feedback. The goal is to shift from punitive assessments toward developmental evaluations that highlight areas for growth.</w:t>
      </w:r>
    </w:p>
    <w:p>
      <w:pPr>
        <w:pStyle w:val="FirstParagraph"/>
      </w:pPr>
      <w:r>
        <w:t xml:space="preserve">The involvement of the "Secondary Teacher" in these initiatives is vital. By actively participating, they contribute to a culture of continuous improvement that benefits the entire educational ecosystem in Kuwait City.</w:t>
      </w:r>
    </w:p>
    <w:bookmarkEnd w:id="29"/>
    <w:bookmarkStart w:id="30" w:name="v.-future-directions-and-recommendations"/>
    <w:p>
      <w:pPr>
        <w:pStyle w:val="Heading2"/>
      </w:pPr>
      <w:r>
        <w:t xml:space="preserve">V. Future Directions and Recommendations</w:t>
      </w:r>
    </w:p>
    <w:p>
      <w:pPr>
        <w:pStyle w:val="FirstParagraph"/>
      </w:pPr>
      <w:r>
        <w:t xml:space="preserve">This Research Paper concludes with several recommendations to further enhance the effectiveness of secondary education:</w:t>
      </w:r>
    </w:p>
    <w:p>
      <w:pPr>
        <w:numPr>
          <w:ilvl w:val="0"/>
          <w:numId w:val="1002"/>
        </w:numPr>
        <w:pStyle w:val="Compact"/>
      </w:pPr>
      <w:r>
        <w:rPr>
          <w:bCs/>
          <w:b/>
        </w:rPr>
        <w:t xml:space="preserve">Prioritize Digital Literacy Training:</w:t>
      </w:r>
      <w:r>
        <w:t xml:space="preserve"> </w:t>
      </w:r>
      <w:r>
        <w:t xml:space="preserve">Professional development must move beyond basic computer skills to include coding, AI literacy, and digital ethics.</w:t>
      </w:r>
    </w:p>
    <w:p>
      <w:pPr>
        <w:numPr>
          <w:ilvl w:val="0"/>
          <w:numId w:val="1002"/>
        </w:numPr>
        <w:pStyle w:val="Compact"/>
      </w:pPr>
      <w:r>
        <w:rPr>
          <w:bCs/>
          <w:b/>
        </w:rPr>
        <w:t xml:space="preserve">Mental Health Support for Educators:</w:t>
      </w:r>
      <w:r>
        <w:t xml:space="preserve"> </w:t>
      </w:r>
      <w:r>
        <w:t xml:space="preserve">Just as teachers support students, secondary educators in Kuwait City face high burnout rates. Implementing wellness programs for the teaching staff is essential to maintain long-term quality.</w:t>
      </w:r>
    </w:p>
    <w:p>
      <w:pPr>
        <w:numPr>
          <w:ilvl w:val="0"/>
          <w:numId w:val="1002"/>
        </w:numPr>
        <w:pStyle w:val="Compact"/>
      </w:pPr>
      <w:r>
        <w:rPr>
          <w:bCs/>
          <w:b/>
        </w:rPr>
        <w:t xml:space="preserve">Bridging the Gap with Universities:</w:t>
      </w:r>
      <w:r>
        <w:t xml:space="preserve"> </w:t>
      </w:r>
      <w:r>
        <w:t xml:space="preserve">Secondary Teacher training institutions (such as the College of Basic Education) should collaborate closely with universities like Kuwait University to ensure that graduates are better prepared for university entrance and career readiness.</w:t>
      </w:r>
    </w:p>
    <w:bookmarkEnd w:id="30"/>
    <w:bookmarkStart w:id="31" w:name="vi.-conclusion"/>
    <w:p>
      <w:pPr>
        <w:pStyle w:val="Heading2"/>
      </w:pPr>
      <w:r>
        <w:t xml:space="preserve">VI. Conclusion</w:t>
      </w:r>
    </w:p>
    <w:p>
      <w:pPr>
        <w:pStyle w:val="FirstParagraph"/>
      </w:pPr>
      <w:r>
        <w:t xml:space="preserve">The role of the Secondary Teacher in Kuwait City is evolving from a traditional instructor to a comprehensive mentor, digital facilitator, and cultural guide. This Research Paper highlights that while challenges regarding class size and technological integration exist, the commitment of educators in Kuwait City remains high.</w:t>
      </w:r>
    </w:p>
    <w:p>
      <w:pPr>
        <w:pStyle w:val="BodyText"/>
      </w:pPr>
      <w:r>
        <w:t xml:space="preserve">As we look toward 2035, the success of Kuwait’s human capital development depends heavily on how well these Secondary Teachers are supported. Empowering them with modern tools, mental health support, and continuous training is not merely an administrative task but a national imperative. By investing in the professional growth of every teacher, Kuwait City secures its future as a beacon of knowledge and innovation in the region.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Secondary Teacher Education and Professional Development in Kuwait City</dc:title>
  <dc:creator/>
  <dc:language>en</dc:language>
  <cp:keywords/>
  <dcterms:created xsi:type="dcterms:W3CDTF">2026-07-30T04:01:39Z</dcterms:created>
  <dcterms:modified xsi:type="dcterms:W3CDTF">2026-07-30T04:01:39Z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