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Secondary</w:t>
      </w:r>
      <w:r>
        <w:t xml:space="preserve"> </w:t>
      </w:r>
      <w:r>
        <w:t xml:space="preserve">Teacher</w:t>
      </w:r>
      <w:r>
        <w:t xml:space="preserve"> </w:t>
      </w:r>
      <w:r>
        <w:t xml:space="preserve">Education</w:t>
      </w:r>
      <w:r>
        <w:t xml:space="preserve"> </w:t>
      </w:r>
      <w:r>
        <w:t xml:space="preserve">in</w:t>
      </w:r>
      <w:r>
        <w:t xml:space="preserve"> </w:t>
      </w:r>
      <w:r>
        <w:t xml:space="preserve">New</w:t>
      </w:r>
      <w:r>
        <w:t xml:space="preserve"> </w:t>
      </w:r>
      <w:r>
        <w:t xml:space="preserve">Zealand</w:t>
      </w:r>
      <w:r>
        <w:t xml:space="preserve"> </w:t>
      </w:r>
      <w:r>
        <w:t xml:space="preserve">Auckland</w:t>
      </w:r>
    </w:p>
    <w:bookmarkStart w:id="33" w:name="X74809fcf51d03ef9f6f3ff74b694a602d66d2cb"/>
    <w:p>
      <w:pPr>
        <w:pStyle w:val="Heading1"/>
      </w:pPr>
      <w:r>
        <w:t xml:space="preserve">The Role, Challenges, and Future of Secondary Teacher Education in New Zealand Auckland</w:t>
      </w:r>
    </w:p>
    <w:p>
      <w:pPr>
        <w:pStyle w:val="FirstParagraph"/>
      </w:pPr>
      <w:r>
        <w:rPr>
          <w:bCs/>
          <w:b/>
        </w:rPr>
        <w:t xml:space="preserve">Abstract</w:t>
      </w:r>
    </w:p>
    <w:p>
      <w:pPr>
        <w:pStyle w:val="BodyText"/>
      </w:pPr>
      <w:r>
        <w:t xml:space="preserve">This research paper examines the evolving landscape of secondary teacher preparation and practice within New Zealand Auckland. As one of the most diverse and rapidly growing urban centers in the country, Auckland presents unique pedagogical challenges and opportunities. This document analyzes the historical context, current regulatory frameworks established by the Teaching Council of Aotearoa New Zealand, and specific local demands related to cultural responsiveness for Māori and Pasifika students.</w:t>
      </w:r>
    </w:p>
    <w:bookmarkStart w:id="20" w:name="introduction"/>
    <w:p>
      <w:pPr>
        <w:pStyle w:val="Heading2"/>
      </w:pPr>
      <w:r>
        <w:t xml:space="preserve">1. Introduction</w:t>
      </w:r>
    </w:p>
    <w:p>
      <w:pPr>
        <w:pStyle w:val="FirstParagraph"/>
      </w:pPr>
      <w:r>
        <w:t xml:space="preserve">The education sector in New Zealand Auckland stands at a critical juncture. With a demographic profile that is increasingly multicultural, the demand for secondary teachers who are not only subject experts but also culturally competent educators has never been higher. Auckland is often cited as one of the fastest-growing cities in the developed world, bringing with it significant diversity in language, culture, and socioeconomic background. Consequently, the preparation of</w:t>
      </w:r>
      <w:r>
        <w:t xml:space="preserve"> </w:t>
      </w:r>
      <w:r>
        <w:rPr>
          <w:bCs/>
          <w:b/>
        </w:rPr>
        <w:t xml:space="preserve">Teacher Secondary</w:t>
      </w:r>
      <w:r>
        <w:t xml:space="preserve"> </w:t>
      </w:r>
      <w:r>
        <w:t xml:space="preserve">professionals must adapt to meet these complex needs while maintaining high professional standards.</w:t>
      </w:r>
    </w:p>
    <w:bookmarkEnd w:id="20"/>
    <w:bookmarkStart w:id="22" w:name="X45ece82b558936b99373fc2efe9930e4d2b1d1b"/>
    <w:p>
      <w:pPr>
        <w:pStyle w:val="Heading2"/>
      </w:pPr>
      <w:r>
        <w:t xml:space="preserve">2. Regulatory Framework and Professional Standards</w:t>
      </w:r>
    </w:p>
    <w:p>
      <w:pPr>
        <w:pStyle w:val="FirstParagraph"/>
      </w:pPr>
      <w:r>
        <w:t xml:space="preserve">In New Zealand Auckland, the legitimacy of any secondary teacher is governed by the Teaching Council of Aotearoa New Zealand. The council maintains strict professional standards that every aspiring</w:t>
      </w:r>
      <w:r>
        <w:t xml:space="preserve"> </w:t>
      </w:r>
      <w:r>
        <w:rPr>
          <w:bCs/>
          <w:b/>
        </w:rPr>
        <w:t xml:space="preserve">Teacher Secondary</w:t>
      </w:r>
      <w:r>
        <w:t xml:space="preserve"> </w:t>
      </w:r>
      <w:r>
        <w:t xml:space="preserve">must meet to gain registration.</w:t>
      </w:r>
    </w:p>
    <w:bookmarkStart w:id="21" w:name="the-registered-teacher-criteria-rtc"/>
    <w:p>
      <w:pPr>
        <w:pStyle w:val="Heading3"/>
      </w:pPr>
      <w:r>
        <w:t xml:space="preserve">The Registered Teacher Criteria (RTC)</w:t>
      </w:r>
    </w:p>
    <w:p>
      <w:pPr>
        <w:pStyle w:val="FirstParagraph"/>
      </w:pPr>
      <w:r>
        <w:t xml:space="preserve">The RTC outlines four key domains:</w:t>
      </w:r>
    </w:p>
    <w:p>
      <w:pPr>
        <w:pStyle w:val="BodyText"/>
      </w:pPr>
      <w:r>
        <w:rPr>
          <w:bCs/>
          <w:b/>
        </w:rPr>
        <w:t xml:space="preserve">Tiakitanga (Responsibility):</w:t>
      </w:r>
    </w:p>
    <w:p>
      <w:pPr>
        <w:pStyle w:val="BodyText"/>
      </w:pPr>
      <w:r>
        <w:rPr>
          <w:iCs/>
          <w:i/>
        </w:rPr>
        <w:t xml:space="preserve">Demonstrating commitment to the learning and well-being of learners.</w:t>
      </w:r>
    </w:p>
    <w:p>
      <w:pPr>
        <w:pStyle w:val="BodyText"/>
      </w:pPr>
      <w:r>
        <w:rPr>
          <w:bCs/>
          <w:b/>
        </w:rPr>
        <w:t xml:space="preserve">Hinengaro (Knowledge):</w:t>
      </w:r>
    </w:p>
    <w:p>
      <w:pPr>
        <w:pStyle w:val="FirstParagraph"/>
      </w:pPr>
      <w:r>
        <w:t xml:space="preserve">&gt;Content knowledge and pedagogical strategies.</w:t>
      </w:r>
    </w:p>
    <w:p>
      <w:pPr>
        <w:pStyle w:val="BodyText"/>
      </w:pPr>
      <w:r>
        <w:t xml:space="preserve">&gt;Understanding learners and how they learn.</w:t>
      </w:r>
    </w:p>
    <w:p>
      <w:pPr>
        <w:pStyle w:val="BodyText"/>
      </w:pPr>
      <w:r>
        <w:br/>
      </w:r>
      <w:r>
        <w:t xml:space="preserve">Li&gt;</w:t>
      </w:r>
      <w:r>
        <w:rPr>
          <w:iCs/>
          <w:i/>
        </w:rPr>
        <w:t xml:space="preserve">Cultural competence</w:t>
      </w:r>
      <w:r>
        <w:t xml:space="preserve">.</w:t>
      </w:r>
    </w:p>
    <w:p>
      <w:pPr>
        <w:pStyle w:val="BodyText"/>
      </w:pPr>
      <w:r>
        <w:rPr>
          <w:bCs/>
          <w:b/>
        </w:rPr>
        <w:t xml:space="preserve">Kaupapa (Philosophy):</w:t>
      </w:r>
    </w:p>
    <w:p>
      <w:pPr>
        <w:pStyle w:val="BodyText"/>
      </w:pPr>
      <w:r>
        <w:t xml:space="preserve">&gt;Commitment to the principles of Te Tiriti o Waitangi (The Treaty of Waitangi).</w:t>
      </w:r>
    </w:p>
    <w:p>
      <w:pPr>
        <w:pStyle w:val="BodyText"/>
      </w:pPr>
      <w:r>
        <w:t xml:space="preserve">&gt;Beliefs about inclusive education and social justice.Li&gt;</w:t>
      </w:r>
      <w:r>
        <w:rPr>
          <w:iCs/>
          <w:i/>
        </w:rPr>
        <w:t xml:space="preserve">Paihere (Relationships):</w:t>
      </w:r>
    </w:p>
    <w:p>
      <w:pPr>
        <w:pStyle w:val="FirstParagraph"/>
      </w:pPr>
      <w:r>
        <w:t xml:space="preserve">&gt;Building effective relationships with learners, whānau (families), and communities.</w:t>
      </w:r>
    </w:p>
    <w:p>
      <w:pPr>
        <w:pStyle w:val="BodyText"/>
      </w:pPr>
      <w:r>
        <w:br/>
      </w:r>
      <w:r>
        <w:t xml:space="preserve">Li&gt;</w:t>
      </w:r>
      <w:r>
        <w:rPr>
          <w:iCs/>
          <w:i/>
        </w:rPr>
        <w:t xml:space="preserve">Collaborative practice</w:t>
      </w:r>
      <w:r>
        <w:t xml:space="preserve">.</w:t>
      </w:r>
    </w:p>
    <w:bookmarkEnd w:id="21"/>
    <w:bookmarkEnd w:id="22"/>
    <w:bookmarkStart w:id="25" w:name="X29217545dcc9a4925c639104ef7955dc89a16e4"/>
    <w:p>
      <w:pPr>
        <w:pStyle w:val="Heading2"/>
      </w:pPr>
      <w:r>
        <w:t xml:space="preserve">3. The Auckland Context: Diversity and Demographics</w:t>
      </w:r>
    </w:p>
    <w:p>
      <w:pPr>
        <w:pStyle w:val="FirstParagraph"/>
      </w:pPr>
      <w:r>
        <w:t xml:space="preserve">Auckland is distinct from other regions in New Zealand due to its immense ethnic diversity. Approximately 40% of Auckland’s population identifies as Asian, while significant portions also identify as Māori and Pasifika. For a</w:t>
      </w:r>
      <w:r>
        <w:t xml:space="preserve"> </w:t>
      </w:r>
      <w:r>
        <w:rPr>
          <w:bCs/>
          <w:b/>
        </w:rPr>
        <w:t xml:space="preserve">Teacher Secondary</w:t>
      </w:r>
      <w:r>
        <w:t xml:space="preserve">, this demographic reality translates into several key pedagogical imperatives:</w:t>
      </w:r>
    </w:p>
    <w:bookmarkStart w:id="23" w:name="X5e8eac7c04b660e00b31d008a1236c14f452907"/>
    <w:p>
      <w:pPr>
        <w:pStyle w:val="Heading3"/>
      </w:pPr>
      <w:r>
        <w:t xml:space="preserve">Cultural Responsiveness (Biculturalism and Multiculturalism)</w:t>
      </w:r>
    </w:p>
    <w:p>
      <w:pPr>
        <w:pStyle w:val="FirstParagraph"/>
      </w:pPr>
      <w:r>
        <w:t xml:space="preserve">In New Zealand Auckland, education is deeply intertwined with the concept of bicultural partnership between Māori and the Crown. Therefore, secondary teachers must possess a strong understanding of Te Ao Māori (the Māori world). This includes integrating te reo Māori (the language) and tikanga (customs) into daily teaching practices, regardless of the subject matter.</w:t>
      </w:r>
    </w:p>
    <w:p>
      <w:pPr>
        <w:pStyle w:val="BodyText"/>
      </w:pPr>
      <w:r>
        <w:t xml:space="preserve">Furthermore, given Auckland’s large Pasifika population, teachers must also understand Pacific pedagogies. Research indicates that students from these backgrounds thrive when their cultural identities are affirmed within the classroom environment. A</w:t>
      </w:r>
      <w:r>
        <w:t xml:space="preserve"> </w:t>
      </w:r>
      <w:r>
        <w:rPr>
          <w:bCs/>
          <w:b/>
        </w:rPr>
        <w:t xml:space="preserve">Teacher Secondary</w:t>
      </w:r>
      <w:r>
        <w:t xml:space="preserve"> </w:t>
      </w:r>
      <w:r>
        <w:t xml:space="preserve">operating in New Zealand Auckland cannot simply adopt a "one-size-fits-all" approach; they must engage in critical self-reflection regarding their own biases and cultural positioning.</w:t>
      </w:r>
    </w:p>
    <w:bookmarkEnd w:id="23"/>
    <w:bookmarkStart w:id="24" w:name="socioeconomic-factors"/>
    <w:p>
      <w:pPr>
        <w:pStyle w:val="Heading3"/>
      </w:pPr>
      <w:r>
        <w:t xml:space="preserve">Socioeconomic Factors</w:t>
      </w:r>
    </w:p>
    <w:p>
      <w:pPr>
        <w:pStyle w:val="FirstParagraph"/>
      </w:pPr>
      <w:r>
        <w:t xml:space="preserve">Auckland exhibits stark socioeconomic disparities. Schools located in southern or western suburbs often face higher levels of deprivation compared to those in the east. Secondary teachers working in these areas require specialized training in trauma-informed practice, poverty-aware pedagogy, and community engagement strategies.</w:t>
      </w:r>
    </w:p>
    <w:bookmarkEnd w:id="24"/>
    <w:bookmarkEnd w:id="25"/>
    <w:bookmarkStart w:id="29" w:name="X5f7545b9eec4228bd518edd7326d3efac748f11"/>
    <w:p>
      <w:pPr>
        <w:pStyle w:val="Heading2"/>
      </w:pPr>
      <w:r>
        <w:t xml:space="preserve">4. Challenges Facing Secondary Teacher Education</w:t>
      </w:r>
    </w:p>
    <w:p>
      <w:pPr>
        <w:pStyle w:val="FirstParagraph"/>
      </w:pPr>
      <w:r>
        <w:t xml:space="preserve">The path to becoming a qualified secondary teacher involves significant challenges, particularly within the competitive environment of New Zealand Auckland.</w:t>
      </w:r>
    </w:p>
    <w:bookmarkStart w:id="26" w:name="the-rural-urban-divide-in-recruitment"/>
    <w:p>
      <w:pPr>
        <w:pStyle w:val="Heading3"/>
      </w:pPr>
      <w:r>
        <w:t xml:space="preserve">The Rural-Urban Divide in Recruitment</w:t>
      </w:r>
    </w:p>
    <w:p>
      <w:pPr>
        <w:pStyle w:val="FirstParagraph"/>
      </w:pPr>
      <w:r>
        <w:t xml:space="preserve">While Auckland attracts many tertiary students, retaining them for teaching roles can be difficult due to the high cost of living and housing. Many recent graduates choose to leave the profession or move overseas, leading to a cycle of staff turnover that disrupts student learning continuity.</w:t>
      </w:r>
    </w:p>
    <w:bookmarkEnd w:id="26"/>
    <w:bookmarkStart w:id="27" w:name="workload-and-well-being"/>
    <w:p>
      <w:pPr>
        <w:pStyle w:val="Heading3"/>
      </w:pPr>
      <w:r>
        <w:t xml:space="preserve">Workload and Well-being</w:t>
      </w:r>
    </w:p>
    <w:p>
      <w:pPr>
        <w:pStyle w:val="FirstParagraph"/>
      </w:pPr>
      <w:r>
        <w:t xml:space="preserve">New Zealand Auckland secondary teachers report high levels of stress related to workload, administrative duties, and behavioral management. The expectation for teachers to perform beyond their core instructional role—as counselors, social workers, and mentors—places immense pressure on the workforce. This has led to a growing emphasis on mental health support within teacher training programs.</w:t>
      </w:r>
    </w:p>
    <w:bookmarkEnd w:id="27"/>
    <w:bookmarkStart w:id="28" w:name="technology-integration"/>
    <w:p>
      <w:pPr>
        <w:pStyle w:val="Heading3"/>
      </w:pPr>
      <w:r>
        <w:t xml:space="preserve">Technology Integration</w:t>
      </w:r>
    </w:p>
    <w:p>
      <w:pPr>
        <w:pStyle w:val="FirstParagraph"/>
      </w:pPr>
      <w:r>
        <w:t xml:space="preserve">The post-pandemic era has accelerated the integration of digital technologies in New Zealand Auckland schools. Secondary teachers must now be proficient in hybrid teaching models, online assessment platforms, and digital citizenship education. Teacher education providers are under pressure to update curricula to reflect these technological realities.</w:t>
      </w:r>
    </w:p>
    <w:bookmarkEnd w:id="28"/>
    <w:bookmarkEnd w:id="29"/>
    <w:bookmarkStart w:id="30" w:name="X1be5d6eba93d09fb0c518f834d5df6d163b6450"/>
    <w:p>
      <w:pPr>
        <w:pStyle w:val="Heading2"/>
      </w:pPr>
      <w:r>
        <w:t xml:space="preserve">5. Strategic Recommendations for Future Practice</w:t>
      </w:r>
    </w:p>
    <w:p>
      <w:pPr>
        <w:pStyle w:val="FirstParagraph"/>
      </w:pPr>
      <w:r>
        <w:t xml:space="preserve">To ensure the sustainability and quality of secondary education in New Zealand Auckland, several strategic actions are recommended:</w:t>
      </w:r>
    </w:p>
    <w:p>
      <w:pPr>
        <w:pStyle w:val="BodyText"/>
      </w:pPr>
      <w:r>
        <w:rPr>
          <w:bCs/>
          <w:b/>
        </w:rPr>
        <w:t xml:space="preserve">Mentorship Programs:</w:t>
      </w:r>
    </w:p>
    <w:p>
      <w:pPr>
        <w:pStyle w:val="BodyText"/>
      </w:pPr>
      <w:r>
        <w:t xml:space="preserve">&gt;Establish robust induction programs for newly qualified teachers in New Zealand Auckland schools. Pairing novice</w:t>
      </w:r>
      <w:r>
        <w:t xml:space="preserve"> </w:t>
      </w:r>
      <w:r>
        <w:rPr>
          <w:bCs/>
          <w:b/>
        </w:rPr>
        <w:t xml:space="preserve">Teacher Secondary</w:t>
      </w:r>
      <w:r>
        <w:t xml:space="preserve">s with experienced mentors can improve retention rates and classroom effectiveness.</w:t>
      </w:r>
    </w:p>
    <w:p>
      <w:pPr>
        <w:pStyle w:val="BodyText"/>
      </w:pPr>
      <w:r>
        <w:rPr>
          <w:iCs/>
          <w:i/>
        </w:rPr>
        <w:t xml:space="preserve">Cultural Competency Training:</w:t>
      </w:r>
    </w:p>
    <w:p>
      <w:pPr>
        <w:pStyle w:val="FirstParagraph"/>
      </w:pPr>
      <w:r>
        <w:t xml:space="preserve">&gt;Mandate ongoing professional development in Te Tiriti o Waitangi and Pasifika pedagogy for all secondary educators.</w:t>
      </w:r>
    </w:p>
    <w:p>
      <w:pPr>
        <w:pStyle w:val="BodyText"/>
      </w:pPr>
      <w:r>
        <w:rPr>
          <w:bCs/>
          <w:b/>
        </w:rPr>
        <w:t xml:space="preserve">University-School Partnerships:</w:t>
      </w:r>
    </w:p>
    <w:p>
      <w:pPr>
        <w:pStyle w:val="BodyText"/>
      </w:pPr>
      <w:r>
        <w:t xml:space="preserve">&gt;Strengthen ties between universities providing teacher education and schools in Auckland. Clinical placements should be extended to provide more practical experience before graduation.</w:t>
      </w:r>
    </w:p>
    <w:p>
      <w:pPr>
        <w:pStyle w:val="BodyText"/>
      </w:pPr>
      <w:r>
        <w:rPr>
          <w:iCs/>
          <w:i/>
        </w:rPr>
        <w:t xml:space="preserve">Housing and Incentives:</w:t>
      </w:r>
    </w:p>
    <w:p>
      <w:pPr>
        <w:pStyle w:val="FirstParagraph"/>
      </w:pPr>
      <w:r>
        <w:t xml:space="preserve">&gt;Governments and local councils should consider incentives for teachers living in Auckland, such as subsidized housing or relocation grants, to alleviate the cost-of-living barrier.</w:t>
      </w:r>
    </w:p>
    <w:bookmarkEnd w:id="30"/>
    <w:bookmarkStart w:id="31" w:name="conclusion"/>
    <w:p>
      <w:pPr>
        <w:pStyle w:val="Heading2"/>
      </w:pPr>
      <w:r>
        <w:t xml:space="preserve">6. Conclusion</w:t>
      </w:r>
    </w:p>
    <w:p>
      <w:pPr>
        <w:pStyle w:val="FirstParagraph"/>
      </w:pPr>
      <w:r>
        <w:t xml:space="preserve">The role of a secondary teacher in New Zealand Auckland is multifaceted and demanding. It requires not only mastery of subject knowledge but also profound cultural awareness, resilience, and adaptability. As Auckland continues to grow in diversity and complexity, the preparation of</w:t>
      </w:r>
      <w:r>
        <w:t xml:space="preserve"> </w:t>
      </w:r>
      <w:r>
        <w:rPr>
          <w:bCs/>
          <w:b/>
        </w:rPr>
        <w:t xml:space="preserve">Teacher Secondary</w:t>
      </w:r>
      <w:r>
        <w:t xml:space="preserve">s must evolve to meet these challenges head-on.</w:t>
      </w:r>
    </w:p>
    <w:p>
      <w:pPr>
        <w:pStyle w:val="BodyText"/>
      </w:pPr>
      <w:r>
        <w:t xml:space="preserve">The integration of Te Tiriti o Waitangi principles into every aspect of teacher education is non-negotiable for equity in New Zealand Auckland schools. By addressing recruitment, retention, and well-being issues, stakeholders can ensure that the next generation of teachers is equipped to foster inclusive, high-quality learning environments. Ultimately, investing in secondary teacher education in New Zealand Auckland is an investment in the social cohesion and economic future of the nation.</w:t>
      </w:r>
    </w:p>
    <w:bookmarkEnd w:id="31"/>
    <w:bookmarkStart w:id="32" w:name="references"/>
    <w:p>
      <w:pPr>
        <w:pStyle w:val="Heading2"/>
      </w:pPr>
      <w:r>
        <w:t xml:space="preserve">7. References</w:t>
      </w:r>
    </w:p>
    <w:p>
      <w:pPr>
        <w:pStyle w:val="FirstParagraph"/>
      </w:pPr>
      <w:r>
        <w:rPr>
          <w:iCs/>
          <w:i/>
        </w:rPr>
        <w:t xml:space="preserve">(Note: In a formal academic submission, specific citations would be provided here according to APA 7th edition guidelines.)</w:t>
      </w:r>
    </w:p>
    <w:p>
      <w:pPr>
        <w:numPr>
          <w:ilvl w:val="0"/>
          <w:numId w:val="1005"/>
        </w:numPr>
        <w:pStyle w:val="Compact"/>
      </w:pPr>
      <w:r>
        <w:t xml:space="preserve">Teaching Council of Aotearoa New Zealand. (2018).</w:t>
      </w:r>
      <w:r>
        <w:t xml:space="preserve"> </w:t>
      </w:r>
      <w:r>
        <w:rPr>
          <w:iCs/>
          <w:i/>
        </w:rPr>
        <w:t xml:space="preserve">Registered Teacher Criteria.</w:t>
      </w:r>
    </w:p>
    <w:p>
      <w:pPr>
        <w:numPr>
          <w:ilvl w:val="0"/>
          <w:numId w:val="1005"/>
        </w:numPr>
        <w:pStyle w:val="Compact"/>
      </w:pPr>
      <w:r>
        <w:t xml:space="preserve">Ministry of Education. (2020).</w:t>
      </w:r>
      <w:r>
        <w:t xml:space="preserve"> </w:t>
      </w:r>
      <w:r>
        <w:rPr>
          <w:iCs/>
          <w:i/>
        </w:rPr>
        <w:t xml:space="preserve">New Zealand Curriculum Framework.</w:t>
      </w:r>
    </w:p>
    <w:p>
      <w:pPr>
        <w:numPr>
          <w:ilvl w:val="0"/>
          <w:numId w:val="1005"/>
        </w:numPr>
        <w:pStyle w:val="Compact"/>
      </w:pPr>
      <w:r>
        <w:t xml:space="preserve">Statistics New Zealand. (2023).</w:t>
      </w:r>
      <w:r>
        <w:t xml:space="preserve"> </w:t>
      </w:r>
      <w:r>
        <w:rPr>
          <w:iCs/>
          <w:i/>
        </w:rPr>
        <w:t xml:space="preserve">Population Projections for Auckland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2">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3">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Challenges, and Future of Secondary Teacher Education in New Zealand Auckland</dc:title>
  <dc:creator/>
  <cp:keywords/>
  <dcterms:created xsi:type="dcterms:W3CDTF">2026-07-30T06:17:47Z</dcterms:created>
  <dcterms:modified xsi:type="dcterms:W3CDTF">2026-07-30T06:17:47Z</dcterms:modified>
</cp:coreProperties>
</file>

<file path=docProps/custom.xml><?xml version="1.0" encoding="utf-8"?>
<Properties xmlns="http://schemas.openxmlformats.org/officeDocument/2006/custom-properties" xmlns:vt="http://schemas.openxmlformats.org/officeDocument/2006/docPropsVTypes"/>
</file>