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6634699f0ac30a1431b9bb21d67a601a0ad310f"/>
    <w:p>
      <w:pPr>
        <w:pStyle w:val="Heading1"/>
      </w:pPr>
      <w:r>
        <w:t xml:space="preserve">The Role, Challenges, and Evolution of the Secondary Teacher in New Zealand Wellington: A Comprehensive Research Paper</w:t>
      </w:r>
    </w:p>
    <w:p>
      <w:pPr>
        <w:pStyle w:val="FirstParagraph"/>
      </w:pPr>
      <w:r>
        <w:br/>
      </w:r>
      <w:r>
        <w:br/>
      </w:r>
      <w:r>
        <w:rPr>
          <w:bCs/>
          <w:b/>
        </w:rPr>
        <w:t xml:space="preserve">Abstract:</w:t>
      </w:r>
      <w:r>
        <w:br/>
      </w:r>
      <w:r>
        <w:t xml:space="preserve">This research paper examines the multifaceted role of the secondary teacher within the educational landscape of New Zealand Wellington. By analyzing current pedagogical trends, cultural imperatives such as Te Tiriti o Waitangi, and socio-economic factors unique to the capital city, this document explores how Wellington-based educators navigate complex classroom dynamics. The study highlights the shift from traditional instruction to holistic facilitation of learning, emphasizing digital integration and inclusivity.</w:t>
      </w:r>
      <w:r>
        <w:br/>
      </w:r>
      <w:r>
        <w:br/>
      </w:r>
    </w:p>
    <w:bookmarkStart w:id="20" w:name="introduction"/>
    <w:p>
      <w:pPr>
        <w:pStyle w:val="Heading2"/>
      </w:pPr>
      <w:r>
        <w:t xml:space="preserve">1. Introduction</w:t>
      </w:r>
    </w:p>
    <w:p>
      <w:pPr>
        <w:pStyle w:val="FirstParagraph"/>
      </w:pPr>
      <w:r>
        <w:t xml:space="preserve">The educational environment in New Zealand is characterized by a robust commitment to student-centered learning, cultural responsiveness, and high academic standards. Within this national framework, the city of Wellington serves as a unique microcosm of diversity and innovation. As the political and cultural capital, Wellington presents distinct challenges and opportunities for its secondary school teachers. This research paper aims to provide an in-depth analysis of what it means to be a teacher secondary in New Zealand Wellington today. It explores the professional expectations, cultural responsibilities, and evolving methodologies that define this critical profession.</w:t>
      </w:r>
    </w:p>
    <w:p>
      <w:pPr>
        <w:pStyle w:val="BodyText"/>
      </w:pPr>
      <w:r>
        <w:br/>
      </w:r>
    </w:p>
    <w:p>
      <w:pPr>
        <w:pStyle w:val="BodyText"/>
      </w:pPr>
      <w:r>
        <w:t xml:space="preserve">The concept of "teacher" has evolved significantly over the past two decades. In Wellington specifically, where there is a high concentration of international students, diverse ethnic communities, and varying levels of socio-economic advantage among schools in areas like Lower Hutt versus Ponsonby or Kelburne (though Kelburne is North Shore/Upper Hutt border area contextually often mixed), the secondary teacher must be more than a subject specialist. They are cultural brokers, mentors, digital navigators, and community liaisons. This document argues that the effectiveness of secondary education in Wellington is directly correlated with how well teachers adapt to these expanded roles.</w:t>
      </w:r>
    </w:p>
    <w:p>
      <w:pPr>
        <w:pStyle w:val="BodyText"/>
      </w:pPr>
      <w:r>
        <w:br/>
      </w:r>
    </w:p>
    <w:bookmarkEnd w:id="20"/>
    <w:bookmarkStart w:id="21" w:name="X2b97cc4fc2b9bfe7c4d7809a171d85c44a8f888"/>
    <w:p>
      <w:pPr>
        <w:pStyle w:val="Heading2"/>
      </w:pPr>
      <w:r>
        <w:t xml:space="preserve">2. Cultural Responsiveness and Te Tiriti o Waitangi</w:t>
      </w:r>
    </w:p>
    <w:p>
      <w:pPr>
        <w:pStyle w:val="FirstParagraph"/>
      </w:pPr>
      <w:r>
        <w:t xml:space="preserve">A central pillar of teaching in New Zealand is the obligation to uphold the principles of Te Tiriti o Waitangi (The Treaty of Waitangi). For a teacher secondary in New Zealand Wellington, this is not merely a bureaucratic requirement but a fundamental aspect of pedagogical practice. With significant Māori and Pasifika populations residing in Wellington, educators must integrate tikanga (Māori customs) and cultural protocols into their lesson planning and classroom management.</w:t>
      </w:r>
    </w:p>
    <w:p>
      <w:pPr>
        <w:pStyle w:val="BodyText"/>
      </w:pPr>
      <w:r>
        <w:br/>
      </w:r>
    </w:p>
    <w:p>
      <w:pPr>
        <w:pStyle w:val="BodyText"/>
      </w:pPr>
      <w:r>
        <w:t xml:space="preserve">Research indicates that when teachers actively engage with Te Tiriti obligations, student engagement increases across all demographic groups. In Wellington’s urban secondary schools, this involves decolonizing the curriculum where possible, acknowledging indigenous knowledge systems alongside Western scientific or literary traditions. For instance, a science teacher in Wellington might incorporate Māori environmental knowledge (mātauranga Māori) when teaching ecology or sustainability. This approach fosters a sense of belonging and identity for Indigenous students while educating non-Indigenous students about biculturalism.</w:t>
      </w:r>
    </w:p>
    <w:p>
      <w:pPr>
        <w:pStyle w:val="BodyText"/>
      </w:pPr>
      <w:r>
        <w:br/>
      </w:r>
    </w:p>
    <w:bookmarkEnd w:id="21"/>
    <w:bookmarkStart w:id="22" w:name="X2081421372532ea23bedcfb75329bcd6eb0e8ee"/>
    <w:p>
      <w:pPr>
        <w:pStyle w:val="Heading2"/>
      </w:pPr>
      <w:r>
        <w:t xml:space="preserve">3. Pedagogical Shifts: From Instruction to Facilitation</w:t>
      </w:r>
    </w:p>
    <w:p>
      <w:pPr>
        <w:pStyle w:val="FirstParagraph"/>
      </w:pPr>
      <w:r>
        <w:t xml:space="preserve">The role of the teacher secondary in New Zealand Wellington has shifted dramatically from being the "sage on the stage" to the "guide on the side." The New Zealand Curriculum emphasizes key competencies such as thinking, using language/symbols/texts, managing self, relating to others, and participating and contributing. Consequently, teachers are expected to design learning experiences that encourage critical thinking and collaboration rather than rote memorization.</w:t>
      </w:r>
    </w:p>
    <w:p>
      <w:pPr>
        <w:pStyle w:val="BodyText"/>
      </w:pPr>
      <w:r>
        <w:br/>
      </w:r>
    </w:p>
    <w:p>
      <w:pPr>
        <w:pStyle w:val="BodyText"/>
      </w:pPr>
      <w:r>
        <w:t xml:space="preserve">In Wellington’s well-resourced urban schools this shift is supported by advanced technology infrastructure. However, the challenge lies in balancing digital tools with human interaction. Secondary teachers must curate digital content while ensuring that social-emotional learning remains a priority. The post-pandemic era has exacerbated issues of student mental health and disengagement; thus, Wellington teachers are increasingly acting as first responders to psychological distress within the school community.</w:t>
      </w:r>
    </w:p>
    <w:p>
      <w:pPr>
        <w:pStyle w:val="BodyText"/>
      </w:pPr>
      <w:r>
        <w:br/>
      </w:r>
    </w:p>
    <w:bookmarkEnd w:id="22"/>
    <w:bookmarkStart w:id="23" w:name="socio-economic-diversity-and-equity"/>
    <w:p>
      <w:pPr>
        <w:pStyle w:val="Heading2"/>
      </w:pPr>
      <w:r>
        <w:t xml:space="preserve">4. Socio-Economic Diversity and Equity</w:t>
      </w:r>
    </w:p>
    <w:p>
      <w:pPr>
        <w:pStyle w:val="FirstParagraph"/>
      </w:pPr>
      <w:r>
        <w:t xml:space="preserve">New Zealand Wellington is not a monolith. The city features stark contrasts in socio-economic status between its suburban catchments. Schools in areas like Lower Hutt often serve communities with higher levels of deprivation compared to private institutions in the central business district or wealthy western suburbs.</w:t>
      </w:r>
    </w:p>
    <w:p>
      <w:pPr>
        <w:pStyle w:val="BodyText"/>
      </w:pPr>
      <w:r>
        <w:br/>
      </w:r>
    </w:p>
    <w:p>
      <w:pPr>
        <w:pStyle w:val="BodyText"/>
      </w:pPr>
      <w:r>
        <w:t xml:space="preserve">For a teacher secondary working in these varied contexts, equity becomes a primary concern. In decile-1 schools (a funding metric based on socio-economic status), teachers often address food insecurity, housing instability, and trauma alongside academic instruction. This requires strong partnerships with external agencies, social workers, and local iwi organizations. The research suggests that successful Wellington secondary teachers develop "wrap-around" support systems for their students. They understand that academic achievement is inextricably linked to well-being and stability.</w:t>
      </w:r>
    </w:p>
    <w:p>
      <w:pPr>
        <w:pStyle w:val="BodyText"/>
      </w:pPr>
      <w:r>
        <w:br/>
      </w:r>
    </w:p>
    <w:bookmarkEnd w:id="23"/>
    <w:bookmarkStart w:id="24" w:name="digital-literacy-and-future-ready-skills"/>
    <w:p>
      <w:pPr>
        <w:pStyle w:val="Heading2"/>
      </w:pPr>
      <w:r>
        <w:t xml:space="preserve">5. Digital Literacy and Future-Ready Skills</w:t>
      </w:r>
    </w:p>
    <w:p>
      <w:pPr>
        <w:pStyle w:val="FirstParagraph"/>
      </w:pPr>
      <w:r>
        <w:t xml:space="preserve">In an era of rapid technological change, the teacher secondary in New Zealand Wellington must be proficient in digital pedagogy. The integration of AI tools, online collaborative platforms, and virtual learning environments has become standard. However, this presents challenges regarding digital equity and privacy.</w:t>
      </w:r>
    </w:p>
    <w:p>
      <w:pPr>
        <w:pStyle w:val="BodyText"/>
      </w:pPr>
      <w:r>
        <w:br/>
      </w:r>
    </w:p>
    <w:p>
      <w:pPr>
        <w:pStyle w:val="BodyText"/>
      </w:pPr>
      <w:r>
        <w:t xml:space="preserve">Teachers are tasked with teaching digital citizenship—helping students navigate online safety, misinformation, and ethical behavior in digital spaces. In Wellington’s tech-forward environment there is a pressure to innovate constantly. Professional development is crucial here; teachers must engage in lifelong learning to keep pace with educational technology trends while ensuring that technology serves pedagogical goals rather than dictating them.</w:t>
      </w:r>
    </w:p>
    <w:p>
      <w:pPr>
        <w:pStyle w:val="BodyText"/>
      </w:pPr>
      <w:r>
        <w:br/>
      </w:r>
    </w:p>
    <w:bookmarkEnd w:id="24"/>
    <w:bookmarkStart w:id="25" w:name="professional-well-being-and-retention"/>
    <w:p>
      <w:pPr>
        <w:pStyle w:val="Heading2"/>
      </w:pPr>
      <w:r>
        <w:t xml:space="preserve">6. Professional Well-being and Retention</w:t>
      </w:r>
    </w:p>
    <w:p>
      <w:pPr>
        <w:pStyle w:val="FirstParagraph"/>
      </w:pPr>
      <w:r>
        <w:t xml:space="preserve">The demand placed on secondary teachers in New Zealand Wellington has led to concerns regarding burnout and retention. The expanded role of the teacher, encompassing mental health support, cultural competency, administrative burdens, and instructional design can be overwhelming. High workloads contribute to stress levels that affect both teacher well-being and student outcomes.</w:t>
      </w:r>
    </w:p>
    <w:p>
      <w:pPr>
        <w:pStyle w:val="BodyText"/>
      </w:pPr>
      <w:r>
        <w:br/>
      </w:r>
    </w:p>
    <w:p>
      <w:pPr>
        <w:pStyle w:val="BodyText"/>
      </w:pPr>
      <w:r>
        <w:t xml:space="preserve">To address this, there is a growing emphasis on creating supportive school cultures where collaboration replaces isolation. Professional Learning Communities (PLCs) in Wellington schools are increasingly vital for sharing resources, strategies, and emotional support. Furthermore, policy recommendations suggest that reducing non-instructional duties could significantly improve teacher retention rates.</w:t>
      </w:r>
    </w:p>
    <w:p>
      <w:pPr>
        <w:pStyle w:val="BodyText"/>
      </w:pPr>
      <w:r>
        <w:br/>
      </w:r>
    </w:p>
    <w:bookmarkEnd w:id="25"/>
    <w:bookmarkStart w:id="26" w:name="conclusion"/>
    <w:p>
      <w:pPr>
        <w:pStyle w:val="Heading2"/>
      </w:pPr>
      <w:r>
        <w:t xml:space="preserve">7. Conclusion</w:t>
      </w:r>
    </w:p>
    <w:p>
      <w:pPr>
        <w:pStyle w:val="FirstParagraph"/>
      </w:pPr>
      <w:r>
        <w:t xml:space="preserve">In conclusion the secondary teacher in New Zealand Wellington occupies a complex and dynamic position within society. They are cultural mediators upholding Te Tiriti o Waitangi, pedagogical innovators integrating digital technologies, social workers addressing equity gaps, and mentors guiding students through adolescence. The effectiveness of this profession is critical to the future success of Wellington’s youth.</w:t>
      </w:r>
    </w:p>
    <w:p>
      <w:pPr>
        <w:pStyle w:val="BodyText"/>
      </w:pPr>
      <w:r>
        <w:br/>
      </w:r>
    </w:p>
    <w:p>
      <w:pPr>
        <w:pStyle w:val="BodyText"/>
      </w:pPr>
      <w:r>
        <w:t xml:space="preserve">As New Zealand continues to evolve so too will the role of the teacher. Continued investment in professional development, mental health support for educators, and culturally responsive teaching practices will ensure that secondary teachers remain effective agents of change. For stakeholders in Wellington education this research paper underscores the need to value and support secondary teachers as essential architects of a bicultural, inclusive, and forward-looking society.</w:t>
      </w:r>
    </w:p>
    <w:p>
      <w:pPr>
        <w:pStyle w:val="BodyText"/>
      </w:pPr>
      <w:r>
        <w:br/>
      </w:r>
    </w:p>
    <w:bookmarkEnd w:id="26"/>
    <w:bookmarkStart w:id="27" w:name="references-simulated-for-context"/>
    <w:p>
      <w:pPr>
        <w:pStyle w:val="Heading2"/>
      </w:pPr>
      <w:r>
        <w:t xml:space="preserve">8. References (Simulated for Context)</w:t>
      </w:r>
    </w:p>
    <w:p>
      <w:pPr>
        <w:numPr>
          <w:ilvl w:val="0"/>
          <w:numId w:val="1001"/>
        </w:numPr>
        <w:pStyle w:val="Compact"/>
      </w:pPr>
      <w:r>
        <w:t xml:space="preserve">New Zealand Ministry of Education. (2017). The New Zealand Curriculum.</w:t>
      </w:r>
    </w:p>
    <w:p>
      <w:pPr>
        <w:numPr>
          <w:ilvl w:val="0"/>
          <w:numId w:val="1001"/>
        </w:numPr>
        <w:pStyle w:val="Compact"/>
      </w:pPr>
      <w:r>
        <w:t xml:space="preserve">The Treaty of Waitangi Commission Reports on Education Equity in Urban Centers.</w:t>
      </w:r>
    </w:p>
    <w:p>
      <w:pPr>
        <w:numPr>
          <w:ilvl w:val="0"/>
          <w:numId w:val="1001"/>
        </w:numPr>
        <w:pStyle w:val="Compact"/>
      </w:pPr>
      <w:r>
        <w:t xml:space="preserve">Auckland University of Technology Research Institute for Education and Learning. (2023). Teacher Wellbeing in Urban New Zealand Schools.</w:t>
      </w:r>
    </w:p>
    <w:p>
      <w:pPr>
        <w:pStyle w:val="FirstParagraph"/>
      </w:pPr>
      <w:r>
        <w:br/>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Secondary Teacher in New Zealand Wellington</dc:title>
  <dc:creator/>
  <dc:language>en</dc:language>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