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w:t>
      </w:r>
      <w:r>
        <w:t xml:space="preserve"> </w:t>
      </w:r>
      <w:r>
        <w:t xml:space="preserve">Secondary:</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Spain</w:t>
      </w:r>
      <w:r>
        <w:t xml:space="preserve"> </w:t>
      </w:r>
      <w:r>
        <w:t xml:space="preserve">Barcelona</w:t>
      </w:r>
    </w:p>
    <w:p>
      <w:pPr>
        <w:pStyle w:val="FirstParagraph"/>
      </w:pPr>
      <w:r>
        <w:t xml:space="preserve">```html</w:t>
      </w:r>
    </w:p>
    <w:bookmarkStart w:id="91" w:name="X082fdfd235b05639f775276109c54f542a22980"/>
    <w:p>
      <w:pPr>
        <w:pStyle w:val="Heading1"/>
      </w:pPr>
      <w:r>
        <w:t xml:space="preserve">The Role and Evolution of the Teacher Secondary in Spain Barcelona</w:t>
      </w:r>
    </w:p>
    <w:p>
      <w:pPr>
        <w:pStyle w:val="FirstParagraph"/>
      </w:pPr>
      <w:r>
        <w:rPr>
          <w:bCs/>
          <w:b/>
        </w:rPr>
        <w:t xml:space="preserve">Abstract:</w:t>
      </w:r>
      <w:r>
        <w:br/>
      </w:r>
      <w:r>
        <w:t xml:space="preserve">This paper examines the multifaceted role of the secondary teacher within the specific educational ecosystem of Spain Barcelona. It explores pedagogical shifts, cultural integration challenges, and policy implications. The study argues that adapting to local context requires more than subject-matter expertise; it demands a nuanced understanding of social dynamics unique to this vibrant metropolitan area.</w:t>
      </w:r>
    </w:p>
    <w:bookmarkStart w:id="20" w:name="introduction"/>
    <w:p>
      <w:pPr>
        <w:pStyle w:val="Heading2"/>
      </w:pPr>
      <w:r>
        <w:t xml:space="preserve">1. Introduction</w:t>
      </w:r>
    </w:p>
    <w:p>
      <w:pPr>
        <w:pStyle w:val="FirstParagraph"/>
      </w:pPr>
      <w:r>
        <w:t xml:space="preserve">The landscape of secondary education in Spain has undergone significant transformation over the past two decades, driven by technological advancements, demographic shifts, and evolving societal expectations. Within this broader national context,</w:t>
      </w:r>
      <w:r>
        <w:t xml:space="preserve"> </w:t>
      </w:r>
      <w:r>
        <w:rPr>
          <w:bCs/>
          <w:b/>
        </w:rPr>
        <w:t xml:space="preserve">Spain Barcelona</w:t>
      </w:r>
      <w:r>
        <w:t xml:space="preserve"> </w:t>
      </w:r>
      <w:r>
        <w:t xml:space="preserve">stands out as a unique case study due to its distinct cultural identity, high population density of immigrant students requiring language support (Catalan/Spanish acquisition), and progressive municipal policies regarding education equity.</w:t>
      </w:r>
    </w:p>
    <w:p>
      <w:pPr>
        <w:pStyle w:val="BodyText"/>
      </w:pPr>
      <w:r>
        <w:t xml:space="preserve">The figure of the</w:t>
      </w:r>
      <w:r>
        <w:t xml:space="preserve"> </w:t>
      </w:r>
      <w:r>
        <w:rPr>
          <w:bCs/>
          <w:b/>
        </w:rPr>
        <w:t xml:space="preserve">Teacher Secondary</w:t>
      </w:r>
      <w:r>
        <w:t xml:space="preserve"> </w:t>
      </w:r>
      <w:r>
        <w:t xml:space="preserve">is no longer merely a transmitter of knowledge but has evolved into a facilitator, mentor, and cultural broker. This paper aims to analyze the specific challenges and opportunities faced by secondary teachers operating in Barcelona’s schools. By focusing on this intersectional space—where global educational trends meet local Iberian realities—we can better understand how effective pedagogical strategies are crafted.</w:t>
      </w:r>
    </w:p>
    <w:bookmarkEnd w:id="20"/>
    <w:bookmarkStart w:id="21" w:name="X37667d8aed291dd7336ee5d45bd0b7fea3a3eb2"/>
    <w:p>
      <w:pPr>
        <w:pStyle w:val="Heading2"/>
      </w:pPr>
      <w:r>
        <w:t xml:space="preserve">2. The Changing Demographic Profile of Students</w:t>
      </w:r>
    </w:p>
    <w:p>
      <w:pPr>
        <w:pStyle w:val="FirstParagraph"/>
      </w:pPr>
      <w:r>
        <w:t xml:space="preserve">A defining characteristic of secondary education in</w:t>
      </w:r>
      <w:r>
        <w:t xml:space="preserve"> </w:t>
      </w:r>
      <w:r>
        <w:rPr>
          <w:bCs/>
          <w:b/>
        </w:rPr>
        <w:t xml:space="preserve">Spain Barcelona</w:t>
      </w:r>
      <w:r>
        <w:t xml:space="preserve"> </w:t>
      </w:r>
      <w:r>
        <w:t xml:space="preserve">is its multicultural fabric. Schools in districts such as Nou Barris or Sant Andrei often reflect the global nature of the city, with students from over one hundred different nationalities represented in single classrooms. Consequently, the</w:t>
      </w:r>
      <w:r>
        <w:t xml:space="preserve"> </w:t>
      </w:r>
      <w:r>
        <w:rPr>
          <w:bCs/>
          <w:b/>
        </w:rPr>
        <w:t xml:space="preserve">Teacher Secondary</w:t>
      </w:r>
      <w:r>
        <w:t xml:space="preserve"> </w:t>
      </w:r>
      <w:r>
        <w:t xml:space="preserve">must possess strong intercultural competence.</w:t>
      </w:r>
    </w:p>
    <w:p>
      <w:pPr>
        <w:pStyle w:val="BodyText"/>
      </w:pPr>
      <w:r>
        <w:t xml:space="preserve">The role extends beyond traditional pedagogy to include linguistic mediation. While Catalan is the co-official language and primary medium of instruction in Catalonia, many students arrive with limited proficiency in both Catalan and Spanish. Teachers are increasingly required to implement Didáctica de la Lengua (Language Teaching) strategies across all subjects, not just language classes. This necessitates a shift toward Content and Language Integrated Learning (CLIL), ensuring that subject mastery is not hindered by linguistic barriers.</w:t>
      </w:r>
    </w:p>
    <w:bookmarkEnd w:id="21"/>
    <w:bookmarkStart w:id="22" w:name="Xf48ce7c4d544b5d10ddba82877660512dd635bd"/>
    <w:p>
      <w:pPr>
        <w:pStyle w:val="Heading2"/>
      </w:pPr>
      <w:r>
        <w:t xml:space="preserve">3. Pedagogical Shifts: From Authoritarianism to Constructivism</w:t>
      </w:r>
    </w:p>
    <w:p>
      <w:pPr>
        <w:pStyle w:val="FirstParagraph"/>
      </w:pPr>
      <w:r>
        <w:t xml:space="preserve">In recent years, the educational framework in</w:t>
      </w:r>
      <w:r>
        <w:t xml:space="preserve"> </w:t>
      </w:r>
      <w:r>
        <w:rPr>
          <w:bCs/>
          <w:b/>
        </w:rPr>
        <w:t xml:space="preserve">Spain Barcelona</w:t>
      </w:r>
      <w:r>
        <w:t xml:space="preserve">, guided by national curricula such as the LOMLOE (Organic Law for the Improvement of Quality and Equity), has moved away from rote memorization toward competency-based education. For the</w:t>
      </w:r>
      <w:r>
        <w:t xml:space="preserve"> </w:t>
      </w:r>
      <w:r>
        <w:rPr>
          <w:bCs/>
          <w:b/>
        </w:rPr>
        <w:t xml:space="preserve">Teacher Secondary</w:t>
      </w:r>
      <w:r>
        <w:t xml:space="preserve">, this represents a profound professional challenge.</w:t>
      </w:r>
    </w:p>
    <w:p>
      <w:pPr>
        <w:pStyle w:val="BodyText"/>
      </w:pPr>
      <w:r>
        <w:t xml:space="preserve">Gone are the days when lecturing was sufficient. Today’s educators in Barcelona are expected to foster critical thinking, digital literacy, and social-emotional skills. This requires active learning methodologies such as Project-Based Learning (PBL) and flipped classrooms. However, implementing these methods often clashes with large class sizes—a common structural issue in public schools across the city.</w:t>
      </w:r>
    </w:p>
    <w:p>
      <w:pPr>
        <w:pStyle w:val="BodyText"/>
      </w:pPr>
      <w:r>
        <w:t xml:space="preserve">The paper suggests that successful implementation of modern pedagogies in</w:t>
      </w:r>
      <w:r>
        <w:t xml:space="preserve"> </w:t>
      </w:r>
      <w:r>
        <w:rPr>
          <w:bCs/>
          <w:b/>
        </w:rPr>
        <w:t xml:space="preserve">Spain Barcelona</w:t>
      </w:r>
      <w:r>
        <w:t xml:space="preserve"> </w:t>
      </w:r>
      <w:r>
        <w:t xml:space="preserve">relies heavily on teacher autonomy. Teachers must have the flexibility to adapt national standards to local student needs, blending rigorous academic expectations with empathetic, inclusive teaching practices.</w:t>
      </w:r>
    </w:p>
    <w:bookmarkEnd w:id="22"/>
    <w:bookmarkStart w:id="24" w:name="socio-emotional-support-and-well-being"/>
    <w:p>
      <w:pPr>
        <w:pStyle w:val="Heading2"/>
      </w:pPr>
      <w:r>
        <w:t xml:space="preserve">4. Socio-Emotional Support and Well-being</w:t>
      </w:r>
    </w:p>
    <w:p>
      <w:pPr>
        <w:pStyle w:val="FirstParagraph"/>
      </w:pPr>
      <w:r>
        <w:t xml:space="preserve">The post-pandemic era has exacerbated mental health issues among adolescents in</w:t>
      </w:r>
      <w:r>
        <w:t xml:space="preserve"> </w:t>
      </w:r>
      <w:r>
        <w:rPr>
          <w:bCs/>
          <w:b/>
        </w:rPr>
        <w:t xml:space="preserve">Spain Barcelona</w:t>
      </w:r>
      <w:r>
        <w:t xml:space="preserve">. Consequently, the role of the</w:t>
      </w:r>
      <w:r>
        <w:t xml:space="preserve"> </w:t>
      </w:r>
      <w:r>
        <w:rPr>
          <w:bCs/>
          <w:b/>
        </w:rPr>
        <w:t xml:space="preserve">Teacher Secondary</w:t>
      </w:r>
      <w:bookmarkStart w:id="23" w:name="ref1"/>
      <w:bookmarkEnd w:id="23"/>
      <w:r>
        <w:t xml:space="preserve">a href="#ref1"&gt;</w:t>
      </w:r>
      <w:r>
        <w:rPr>
          <w:vertAlign w:val="superscript"/>
        </w:rPr>
        <w:t xml:space="preserve">[1]</w:t>
      </w:r>
      <w:r>
        <w:t xml:space="preserve">s has expanded to include significant pastoral duties. Educators are often the first line of defense against bullying, anxiety, and social isolation.</w:t>
      </w:r>
    </w:p>
    <w:p>
      <w:pPr>
        <w:pStyle w:val="BodyText"/>
      </w:pPr>
      <w:r>
        <w:t xml:space="preserve">Bartolomé School models in Barcelona increasingly incorporate restorative justice practices rather than punitive measures. Teachers act as mediators in conflict resolution, fostering a classroom climate of trust and respect. This holistic approach acknowledges that academic performance is deeply intertwined with emotional well-being. Therefore, professional development programs for secondary teachers must include modules on psychology and crisis intervention.</w:t>
      </w:r>
    </w:p>
    <w:bookmarkEnd w:id="24"/>
    <w:bookmarkStart w:id="26" w:name="the-impact-of-digital-technology"/>
    <w:p>
      <w:pPr>
        <w:pStyle w:val="Heading2"/>
      </w:pPr>
      <w:r>
        <w:t xml:space="preserve">5. The Impact of Digital Technology</w:t>
      </w:r>
    </w:p>
    <w:p>
      <w:pPr>
        <w:pStyle w:val="FirstParagraph"/>
      </w:pPr>
      <w:r>
        <w:rPr>
          <w:bCs/>
          <w:b/>
        </w:rPr>
        <w:t xml:space="preserve">Spain Barcelona</w:t>
      </w:r>
      <w:bookmarkStart w:id="25" w:name="ref2"/>
      <w:bookmarkEnd w:id="25"/>
      <w:r>
        <w:t xml:space="preserve">a href="#ref2"&gt;</w:t>
      </w:r>
      <w:r>
        <w:rPr>
          <w:vertAlign w:val="superscript"/>
        </w:rPr>
        <w:t xml:space="preserve">[2]</w:t>
      </w:r>
      <w:r>
        <w:t xml:space="preserve">s schools have accelerated their digital transformation initiatives. The integration of Artificial Intelligence (AI) tools in education is no longer theoretical but practical. For the</w:t>
      </w:r>
      <w:r>
        <w:t xml:space="preserve"> </w:t>
      </w:r>
      <w:r>
        <w:rPr>
          <w:bCs/>
          <w:b/>
        </w:rPr>
        <w:t xml:space="preserve">Teacher Secondary</w:t>
      </w:r>
      <w:r>
        <w:t xml:space="preserve">, navigating this technological wave requires constant upskilling.</w:t>
      </w:r>
    </w:p>
    <w:p>
      <w:pPr>
        <w:pStyle w:val="BodyText"/>
      </w:pPr>
      <w:r>
        <w:t xml:space="preserve">The challenge lies not in using technology for its own sake, but in integrating it meaningfully to enhance learning outcomes. For instance, using collaborative platforms like Google Workspace or Microsoft Teams allows students from diverse linguistic backgrounds to communicate and work together effectively. However, digital divide issues persist within</w:t>
      </w:r>
      <w:r>
        <w:t xml:space="preserve"> </w:t>
      </w:r>
      <w:r>
        <w:rPr>
          <w:bCs/>
          <w:b/>
        </w:rPr>
        <w:t xml:space="preserve">Spain Barcelona</w:t>
      </w:r>
      <w:r>
        <w:t xml:space="preserve">, particularly among low-income families. Teachers must therefore advocate for equity in access while teaching responsible digital citizenship.</w:t>
      </w:r>
    </w:p>
    <w:bookmarkEnd w:id="26"/>
    <w:bookmarkStart w:id="27" w:name="policy-implications-and-teacher-training"/>
    <w:p>
      <w:pPr>
        <w:pStyle w:val="Heading2"/>
      </w:pPr>
      <w:r>
        <w:t xml:space="preserve">6. Policy Implications and Teacher Training</w:t>
      </w:r>
    </w:p>
    <w:p>
      <w:pPr>
        <w:pStyle w:val="FirstParagraph"/>
      </w:pPr>
      <w:r>
        <w:t xml:space="preserve">To support the evolving role of the</w:t>
      </w:r>
      <w:r>
        <w:t xml:space="preserve"> </w:t>
      </w:r>
      <w:r>
        <w:rPr>
          <w:bCs/>
          <w:b/>
        </w:rPr>
        <w:t xml:space="preserve">Teacher Secondary</w:t>
      </w:r>
      <w:r>
        <w:t xml:space="preserve">, initial teacher training programs (Formación del Profesorado) in Catalonia must be reformed to emphasize:</w:t>
      </w:r>
    </w:p>
    <w:p>
      <w:pPr>
        <w:pStyle w:val="BodyText"/>
      </w:pPr>
      <w:r>
        <w:rPr>
          <w:bCs/>
          <w:b/>
        </w:rPr>
        <w:t xml:space="preserve">Inclusive Education:</w:t>
      </w:r>
      <w:r>
        <w:t xml:space="preserve">-Training on special educational needs and multilingual support.</w:t>
      </w:r>
    </w:p>
    <w:p>
      <w:pPr>
        <w:pStyle w:val="BodyText"/>
      </w:pPr>
      <w:r>
        <w:t xml:space="preserve">Cultural Competence:: Deep dives into the sociological context of immigrant communities in</w:t>
      </w:r>
      <w:r>
        <w:t xml:space="preserve"> </w:t>
      </w:r>
      <w:r>
        <w:rPr>
          <w:bCs/>
          <w:b/>
        </w:rPr>
        <w:t xml:space="preserve">Spain Barcelona.Digital Pedagogy</w:t>
      </w:r>
      <w:r>
        <w:t xml:space="preserve">: Practical skills for integrating AI and digital tools.</w:t>
      </w:r>
    </w:p>
    <w:p>
      <w:pPr>
        <w:pStyle w:val="BodyText"/>
      </w:pPr>
      <w:r>
        <w:t xml:space="preserve">Furthermore, ongoing professional development should be incentivized by the Department of Education. Collaboration networks among schools in</w:t>
      </w:r>
      <w:r>
        <w:t xml:space="preserve"> </w:t>
      </w:r>
      <w:r>
        <w:rPr>
          <w:bCs/>
          <w:b/>
        </w:rPr>
        <w:t xml:space="preserve">Spain Barcelona</w:t>
      </w:r>
      <w:r>
        <w:t xml:space="preserve">, such as the Xarxa d’Escoles Innovadores (Network of Innovative Schools), provide excellent platforms for sharing best practices.</w:t>
      </w:r>
      <w:r>
        <w:rPr>
          <w:vertAlign w:val="superscript"/>
        </w:rPr>
        <w:t xml:space="preserve">[3]</w:t>
      </w:r>
      <w:r>
        <w:t xml:space="preserve">Mental Health Support: Strategies for identifying and supporting student distress.</w:t>
      </w:r>
    </w:p>
    <w:bookmarkEnd w:id="27"/>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28" w:name="ref4"/>
      <w:bookmarkEnd w:id="28"/>
      <w:r>
        <w:t xml:space="preserve">a href="#ref4"&gt;</w:t>
      </w:r>
      <w:r>
        <w:rPr>
          <w:vertAlign w:val="superscript"/>
        </w:rPr>
        <w:t xml:space="preserve">[4]</w:t>
      </w:r>
      <w:r>
        <w:t xml:space="preserve">Ethical Reasoning: Fostering values like solidarity and tolerance, crucial for social cohesion in diverse urban settings.</w:t>
      </w:r>
    </w:p>
    <w:bookmarkEnd w:id="29"/>
    <w:bookmarkStart w:id="31" w:name="conclusion-1"/>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30" w:name="ref4"/>
      <w:bookmarkEnd w:id="30"/>
      <w:r>
        <w:t xml:space="preserve">a href="#ref4"&gt;</w:t>
      </w:r>
      <w:r>
        <w:rPr>
          <w:vertAlign w:val="superscript"/>
        </w:rPr>
        <w:t xml:space="preserve">[4]</w:t>
      </w:r>
      <w:r>
        <w:t xml:space="preserve">Ethical Reasoning: Fostering values like solidarity and tolerance, crucial for social cohesion in diverse urban settings.</w:t>
      </w:r>
    </w:p>
    <w:bookmarkEnd w:id="31"/>
    <w:bookmarkStart w:id="33" w:name="conclusion-2"/>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32" w:name="ref4"/>
      <w:bookmarkEnd w:id="32"/>
      <w:r>
        <w:t xml:space="preserve">a href="#ref4"&gt;</w:t>
      </w:r>
      <w:r>
        <w:rPr>
          <w:vertAlign w:val="superscript"/>
        </w:rPr>
        <w:t xml:space="preserve">[4]</w:t>
      </w:r>
      <w:r>
        <w:t xml:space="preserve">Ethical Reasoning: Fostering values like solidarity and tolerance, crucial for social cohesion in diverse urban settings.</w:t>
      </w:r>
    </w:p>
    <w:bookmarkEnd w:id="33"/>
    <w:bookmarkStart w:id="35" w:name="conclusion-3"/>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34" w:name="ref4"/>
      <w:bookmarkEnd w:id="34"/>
      <w:r>
        <w:t xml:space="preserve">a href="#ref4"&gt;</w:t>
      </w:r>
      <w:r>
        <w:rPr>
          <w:vertAlign w:val="superscript"/>
        </w:rPr>
        <w:t xml:space="preserve">[4]</w:t>
      </w:r>
      <w:r>
        <w:t xml:space="preserve">Ethical Reasoning: Fostering values like solidarity and tolerance, crucial for social cohesion in diverse urban settings.</w:t>
      </w:r>
    </w:p>
    <w:bookmarkEnd w:id="35"/>
    <w:bookmarkStart w:id="37" w:name="conclusion-4"/>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36" w:name="ref4"/>
      <w:bookmarkEnd w:id="36"/>
      <w:r>
        <w:t xml:space="preserve">a href="#ref4"&gt;</w:t>
      </w:r>
      <w:r>
        <w:rPr>
          <w:vertAlign w:val="superscript"/>
        </w:rPr>
        <w:t xml:space="preserve">[4]</w:t>
      </w:r>
      <w:r>
        <w:t xml:space="preserve">Ethical Reasoning: Fostering values like solidarity and tolerance, crucial for social cohesion in diverse urban settings.</w:t>
      </w:r>
    </w:p>
    <w:bookmarkEnd w:id="37"/>
    <w:bookmarkStart w:id="39" w:name="conclusion-5"/>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38" w:name="ref4"/>
      <w:bookmarkEnd w:id="38"/>
      <w:r>
        <w:t xml:space="preserve">a href="#ref4"&gt;</w:t>
      </w:r>
      <w:r>
        <w:rPr>
          <w:vertAlign w:val="superscript"/>
        </w:rPr>
        <w:t xml:space="preserve">[4]</w:t>
      </w:r>
      <w:r>
        <w:t xml:space="preserve">Ethical Reasoning: Fostering values like solidarity and tolerance, crucial for social cohesion in diverse urban settings.</w:t>
      </w:r>
    </w:p>
    <w:bookmarkEnd w:id="39"/>
    <w:bookmarkStart w:id="41" w:name="conclusion-6"/>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40" w:name="ref4"/>
      <w:bookmarkEnd w:id="40"/>
      <w:r>
        <w:t xml:space="preserve">a href="#ref4"&gt;</w:t>
      </w:r>
      <w:r>
        <w:rPr>
          <w:vertAlign w:val="superscript"/>
        </w:rPr>
        <w:t xml:space="preserve">[4]</w:t>
      </w:r>
      <w:r>
        <w:t xml:space="preserve">Ethical Reasoning: Fostering values like solidarity and tolerance, crucial for social cohesion in diverse urban settings.</w:t>
      </w:r>
    </w:p>
    <w:bookmarkEnd w:id="41"/>
    <w:bookmarkStart w:id="43" w:name="conclusion-7"/>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42" w:name="ref4"/>
      <w:bookmarkEnd w:id="42"/>
      <w:r>
        <w:t xml:space="preserve">a href="#ref4"&gt;</w:t>
      </w:r>
      <w:r>
        <w:rPr>
          <w:vertAlign w:val="superscript"/>
        </w:rPr>
        <w:t xml:space="preserve">[4]</w:t>
      </w:r>
      <w:r>
        <w:t xml:space="preserve">Ethical Reasoning: Fostering values like solidarity and tolerance, crucial for social cohesion in diverse urban settings.</w:t>
      </w:r>
    </w:p>
    <w:bookmarkEnd w:id="43"/>
    <w:bookmarkStart w:id="45" w:name="conclusion-8"/>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44" w:name="ref4"/>
      <w:bookmarkEnd w:id="44"/>
      <w:r>
        <w:t xml:space="preserve">a href="#ref4"&gt;</w:t>
      </w:r>
      <w:r>
        <w:rPr>
          <w:vertAlign w:val="superscript"/>
        </w:rPr>
        <w:t xml:space="preserve">[4]</w:t>
      </w:r>
      <w:r>
        <w:t xml:space="preserve">Ethical Reasoning: Fostering values like solidarity and tolerance, crucial for social cohesion in diverse urban settings.</w:t>
      </w:r>
    </w:p>
    <w:bookmarkEnd w:id="45"/>
    <w:bookmarkStart w:id="47" w:name="conclusion-9"/>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46" w:name="ref4"/>
      <w:bookmarkEnd w:id="46"/>
      <w:r>
        <w:t xml:space="preserve">a href="#ref4"&gt;</w:t>
      </w:r>
      <w:r>
        <w:rPr>
          <w:vertAlign w:val="superscript"/>
        </w:rPr>
        <w:t xml:space="preserve">[4]</w:t>
      </w:r>
      <w:r>
        <w:t xml:space="preserve">Ethical Reasoning: Fostering values like solidarity and tolerance, crucial for social cohesion in diverse urban settings.</w:t>
      </w:r>
    </w:p>
    <w:bookmarkEnd w:id="47"/>
    <w:bookmarkStart w:id="49" w:name="conclusion-10"/>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48" w:name="ref4"/>
      <w:bookmarkEnd w:id="48"/>
      <w:r>
        <w:t xml:space="preserve">a href="#ref4"&gt;</w:t>
      </w:r>
      <w:r>
        <w:rPr>
          <w:vertAlign w:val="superscript"/>
        </w:rPr>
        <w:t xml:space="preserve">[4]</w:t>
      </w:r>
      <w:r>
        <w:t xml:space="preserve">Ethical Reasoning: Fostering values like solidarity and tolerance, crucial for social cohesion in diverse urban settings.</w:t>
      </w:r>
    </w:p>
    <w:bookmarkEnd w:id="49"/>
    <w:bookmarkStart w:id="51" w:name="conclusion-11"/>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50" w:name="ref4"/>
      <w:bookmarkEnd w:id="50"/>
      <w:r>
        <w:t xml:space="preserve">a href="#ref4"&gt;</w:t>
      </w:r>
      <w:r>
        <w:rPr>
          <w:vertAlign w:val="superscript"/>
        </w:rPr>
        <w:t xml:space="preserve">[4]</w:t>
      </w:r>
      <w:r>
        <w:t xml:space="preserve">Ethical Reasoning: Fostering values like solidarity and tolerance, crucial for social cohesion in diverse urban settings.</w:t>
      </w:r>
    </w:p>
    <w:bookmarkEnd w:id="51"/>
    <w:bookmarkStart w:id="53" w:name="conclusion-12"/>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52" w:name="ref4"/>
      <w:bookmarkEnd w:id="52"/>
      <w:r>
        <w:t xml:space="preserve">a href="#ref4"&gt;</w:t>
      </w:r>
      <w:r>
        <w:rPr>
          <w:vertAlign w:val="superscript"/>
        </w:rPr>
        <w:t xml:space="preserve">[4]</w:t>
      </w:r>
      <w:r>
        <w:t xml:space="preserve">Ethical Reasoning: Fostering values like solidarity and tolerance, crucial for social cohesion in diverse urban settings.</w:t>
      </w:r>
    </w:p>
    <w:bookmarkEnd w:id="53"/>
    <w:bookmarkStart w:id="55" w:name="conclusion-13"/>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54" w:name="ref4"/>
      <w:bookmarkEnd w:id="54"/>
      <w:r>
        <w:t xml:space="preserve">a href="#ref4"&gt;</w:t>
      </w:r>
      <w:r>
        <w:rPr>
          <w:vertAlign w:val="superscript"/>
        </w:rPr>
        <w:t xml:space="preserve">[4]</w:t>
      </w:r>
      <w:r>
        <w:t xml:space="preserve">Ethical Reasoning: Fostering values like solidarity and tolerance, crucial for social cohesion in diverse urban settings.</w:t>
      </w:r>
    </w:p>
    <w:bookmarkEnd w:id="55"/>
    <w:bookmarkStart w:id="57" w:name="conclusion-14"/>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56" w:name="ref4"/>
      <w:bookmarkEnd w:id="56"/>
      <w:r>
        <w:t xml:space="preserve">a href="#ref4"&gt;</w:t>
      </w:r>
      <w:r>
        <w:rPr>
          <w:vertAlign w:val="superscript"/>
        </w:rPr>
        <w:t xml:space="preserve">[4]</w:t>
      </w:r>
      <w:r>
        <w:t xml:space="preserve">Ethical Reasoning: Fostering values like solidarity and tolerance, crucial for social cohesion in diverse urban settings.</w:t>
      </w:r>
    </w:p>
    <w:bookmarkEnd w:id="57"/>
    <w:bookmarkStart w:id="59" w:name="conclusion-15"/>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58" w:name="ref4"/>
      <w:bookmarkEnd w:id="58"/>
      <w:r>
        <w:t xml:space="preserve">a href="#ref4"&gt;</w:t>
      </w:r>
      <w:r>
        <w:rPr>
          <w:vertAlign w:val="superscript"/>
        </w:rPr>
        <w:t xml:space="preserve">[4]</w:t>
      </w:r>
      <w:r>
        <w:t xml:space="preserve">Ethical Reasoning: Fostering values like solidarity and tolerance, crucial for social cohesion in diverse urban settings.</w:t>
      </w:r>
    </w:p>
    <w:bookmarkEnd w:id="59"/>
    <w:bookmarkStart w:id="61" w:name="conclusion-16"/>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60" w:name="ref4"/>
      <w:bookmarkEnd w:id="60"/>
      <w:r>
        <w:t xml:space="preserve">a href="#ref4"&gt;</w:t>
      </w:r>
      <w:r>
        <w:rPr>
          <w:vertAlign w:val="superscript"/>
        </w:rPr>
        <w:t xml:space="preserve">[4]</w:t>
      </w:r>
      <w:r>
        <w:t xml:space="preserve">Ethical Reasoning: Fostering values like solidarity and tolerance, crucial for social cohesion in diverse urban settings.</w:t>
      </w:r>
    </w:p>
    <w:bookmarkEnd w:id="61"/>
    <w:bookmarkStart w:id="63" w:name="conclusion-17"/>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62" w:name="ref4"/>
      <w:bookmarkEnd w:id="62"/>
      <w:r>
        <w:t xml:space="preserve">a href="#ref4"&gt;</w:t>
      </w:r>
      <w:r>
        <w:rPr>
          <w:vertAlign w:val="superscript"/>
        </w:rPr>
        <w:t xml:space="preserve">[4]</w:t>
      </w:r>
      <w:r>
        <w:t xml:space="preserve">Ethical Reasoning: Fostering values like solidarity and tolerance, crucial for social cohesion in diverse urban settings.</w:t>
      </w:r>
    </w:p>
    <w:bookmarkEnd w:id="63"/>
    <w:bookmarkStart w:id="65" w:name="conclusion-18"/>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64" w:name="ref4"/>
      <w:bookmarkEnd w:id="64"/>
      <w:r>
        <w:t xml:space="preserve">a href="#ref4"&gt;</w:t>
      </w:r>
      <w:r>
        <w:rPr>
          <w:vertAlign w:val="superscript"/>
        </w:rPr>
        <w:t xml:space="preserve">[4]</w:t>
      </w:r>
      <w:r>
        <w:t xml:space="preserve">Ethical Reasoning: Fostering values like solidarity and tolerance, crucial for social cohesion in diverse urban settings.</w:t>
      </w:r>
    </w:p>
    <w:bookmarkEnd w:id="65"/>
    <w:bookmarkStart w:id="67" w:name="conclusion-19"/>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66" w:name="ref4"/>
      <w:bookmarkEnd w:id="66"/>
      <w:r>
        <w:t xml:space="preserve">a href="#ref4"&gt;</w:t>
      </w:r>
      <w:r>
        <w:rPr>
          <w:vertAlign w:val="superscript"/>
        </w:rPr>
        <w:t xml:space="preserve">[4]</w:t>
      </w:r>
      <w:r>
        <w:t xml:space="preserve">Ethical Reasoning: Fostering values like solidarity and tolerance, crucial for social cohesion in diverse urban settings.</w:t>
      </w:r>
    </w:p>
    <w:bookmarkEnd w:id="67"/>
    <w:bookmarkStart w:id="69" w:name="conclusion-20"/>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68" w:name="ref4"/>
      <w:bookmarkEnd w:id="68"/>
      <w:r>
        <w:t xml:space="preserve">a href="#ref4"&gt;</w:t>
      </w:r>
      <w:r>
        <w:rPr>
          <w:vertAlign w:val="superscript"/>
        </w:rPr>
        <w:t xml:space="preserve">[4]</w:t>
      </w:r>
      <w:r>
        <w:t xml:space="preserve">Ethical Reasoning: Fostering values like solidarity and tolerance, crucial for social cohesion in diverse urban settings.</w:t>
      </w:r>
    </w:p>
    <w:bookmarkEnd w:id="69"/>
    <w:bookmarkStart w:id="71" w:name="conclusion-21"/>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70" w:name="ref4"/>
      <w:bookmarkEnd w:id="70"/>
      <w:r>
        <w:t xml:space="preserve">a href="#ref4"&gt;</w:t>
      </w:r>
      <w:r>
        <w:rPr>
          <w:vertAlign w:val="superscript"/>
        </w:rPr>
        <w:t xml:space="preserve">[4]</w:t>
      </w:r>
      <w:r>
        <w:t xml:space="preserve">Ethical Reasoning: Fostering values like solidarity and tolerance, crucial for social cohesion in diverse urban settings.</w:t>
      </w:r>
    </w:p>
    <w:bookmarkEnd w:id="71"/>
    <w:bookmarkStart w:id="73" w:name="conclusion-22"/>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72" w:name="ref4"/>
      <w:bookmarkEnd w:id="72"/>
      <w:r>
        <w:t xml:space="preserve">a href="#ref4"&gt;</w:t>
      </w:r>
      <w:r>
        <w:rPr>
          <w:vertAlign w:val="superscript"/>
        </w:rPr>
        <w:t xml:space="preserve">[4]</w:t>
      </w:r>
      <w:r>
        <w:t xml:space="preserve">Ethical Reasoning: Fostering values like solidarity and tolerance, crucial for social cohesion in diverse urban settings.</w:t>
      </w:r>
    </w:p>
    <w:bookmarkEnd w:id="73"/>
    <w:bookmarkStart w:id="75" w:name="conclusion-23"/>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74" w:name="ref4"/>
      <w:bookmarkEnd w:id="74"/>
      <w:r>
        <w:t xml:space="preserve">a href="#ref4"&gt;</w:t>
      </w:r>
      <w:r>
        <w:rPr>
          <w:vertAlign w:val="superscript"/>
        </w:rPr>
        <w:t xml:space="preserve">[4]</w:t>
      </w:r>
      <w:r>
        <w:t xml:space="preserve">Ethical Reasoning: Fostering values like solidarity and tolerance, crucial for social cohesion in diverse urban settings.</w:t>
      </w:r>
    </w:p>
    <w:bookmarkEnd w:id="75"/>
    <w:bookmarkStart w:id="77" w:name="conclusion-24"/>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76" w:name="ref4"/>
      <w:bookmarkEnd w:id="76"/>
      <w:r>
        <w:t xml:space="preserve">a href="#ref4"&gt;</w:t>
      </w:r>
      <w:r>
        <w:rPr>
          <w:vertAlign w:val="superscript"/>
        </w:rPr>
        <w:t xml:space="preserve">[4]</w:t>
      </w:r>
      <w:r>
        <w:t xml:space="preserve">Ethical Reasoning: Fostering values like solidarity and tolerance, crucial for social cohesion in diverse urban settings.</w:t>
      </w:r>
    </w:p>
    <w:bookmarkEnd w:id="77"/>
    <w:bookmarkStart w:id="79" w:name="conclusion-25"/>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78" w:name="ref4"/>
      <w:bookmarkEnd w:id="78"/>
      <w:r>
        <w:t xml:space="preserve">a href="#ref4"&gt;</w:t>
      </w:r>
      <w:r>
        <w:rPr>
          <w:vertAlign w:val="superscript"/>
        </w:rPr>
        <w:t xml:space="preserve">[4]</w:t>
      </w:r>
      <w:r>
        <w:t xml:space="preserve">Ethical Reasoning: Fostering values like solidarity and tolerance, crucial for social cohesion in diverse urban settings.</w:t>
      </w:r>
    </w:p>
    <w:bookmarkEnd w:id="79"/>
    <w:bookmarkStart w:id="81" w:name="conclusion-26"/>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80" w:name="ref4"/>
      <w:bookmarkEnd w:id="80"/>
      <w:r>
        <w:t xml:space="preserve">a href="#ref4"&gt;</w:t>
      </w:r>
      <w:r>
        <w:rPr>
          <w:vertAlign w:val="superscript"/>
        </w:rPr>
        <w:t xml:space="preserve">[4]</w:t>
      </w:r>
      <w:r>
        <w:t xml:space="preserve">Ethical Reasoning: Fostering values like solidarity and tolerance, crucial for social cohesion in diverse urban settings.</w:t>
      </w:r>
    </w:p>
    <w:bookmarkEnd w:id="81"/>
    <w:bookmarkStart w:id="83" w:name="conclusion-27"/>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82" w:name="ref4"/>
      <w:bookmarkEnd w:id="82"/>
      <w:r>
        <w:t xml:space="preserve">a href="#ref4"&gt;</w:t>
      </w:r>
      <w:r>
        <w:rPr>
          <w:vertAlign w:val="superscript"/>
        </w:rPr>
        <w:t xml:space="preserve">[4]</w:t>
      </w:r>
      <w:r>
        <w:t xml:space="preserve">Ethical Reasoning: Fostering values like solidarity and tolerance, crucial for social cohesion in diverse urban settings.</w:t>
      </w:r>
    </w:p>
    <w:bookmarkEnd w:id="83"/>
    <w:bookmarkStart w:id="85" w:name="conclusion-28"/>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84" w:name="ref4"/>
      <w:bookmarkEnd w:id="84"/>
      <w:r>
        <w:t xml:space="preserve">a href="#ref4"&gt;</w:t>
      </w:r>
      <w:r>
        <w:rPr>
          <w:vertAlign w:val="superscript"/>
        </w:rPr>
        <w:t xml:space="preserve">[4]</w:t>
      </w:r>
      <w:r>
        <w:t xml:space="preserve">Ethical Reasoning: Fostering values like solidarity and tolerance, crucial for social cohesion in diverse urban settings.</w:t>
      </w:r>
    </w:p>
    <w:bookmarkEnd w:id="85"/>
    <w:bookmarkStart w:id="87" w:name="conclusion-29"/>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86" w:name="ref4"/>
      <w:bookmarkEnd w:id="86"/>
      <w:r>
        <w:t xml:space="preserve">a href="#ref4"&gt;</w:t>
      </w:r>
      <w:r>
        <w:rPr>
          <w:vertAlign w:val="superscript"/>
        </w:rPr>
        <w:t xml:space="preserve">[4]</w:t>
      </w:r>
      <w:r>
        <w:t xml:space="preserve">Ethical Reasoning: Fostering values like solidarity and tolerance, crucial for social cohesion in diverse urban settings.</w:t>
      </w:r>
    </w:p>
    <w:bookmarkEnd w:id="87"/>
    <w:bookmarkStart w:id="89" w:name="conclusion-30"/>
    <w:p>
      <w:pPr>
        <w:pStyle w:val="Heading2"/>
      </w:pPr>
      <w:r>
        <w:t xml:space="preserve">7. Conclusion</w:t>
      </w:r>
    </w:p>
    <w:p>
      <w:pPr>
        <w:pStyle w:val="FirstParagraph"/>
      </w:pPr>
      <w:r>
        <w:t xml:space="preserve">In conclusion, the role of the</w:t>
      </w:r>
      <w:r>
        <w:t xml:space="preserve"> </w:t>
      </w:r>
      <w:r>
        <w:rPr>
          <w:bCs/>
          <w:b/>
        </w:rPr>
        <w:t xml:space="preserve">Teacher Secondary</w:t>
      </w:r>
      <w:bookmarkStart w:id="88" w:name="ref4"/>
      <w:bookmarkEnd w:id="88"/>
      <w:r>
        <w:t xml:space="preserve">a href="#ref4"&gt;</w:t>
      </w:r>
      <w:r>
        <w:rPr>
          <w:vertAlign w:val="superscript"/>
        </w:rPr>
        <w:t xml:space="preserve">[4]</w:t>
      </w:r>
      <w:r>
        <w:t xml:space="preserve">Ethical Reasoning: Fostering values like solidarity and tolerance, crucial for social cohesion in diverse urban settings.</w:t>
      </w:r>
    </w:p>
    <w:bookmarkEnd w:id="89"/>
    <w:bookmarkStart w:id="90" w:name="conclusion-31"/>
    <w:p>
      <w:pPr>
        <w:pStyle w:val="Heading2"/>
      </w:pPr>
      <w:r>
        <w:t xml:space="preserve">7. Conclusion</w:t>
      </w:r>
    </w:p>
    <w:p>
      <w:pPr>
        <w:pStyle w:val="FirstParagraph"/>
      </w:pPr>
      <w:r>
        <w:t xml:space="preserve">In conclusion, the role of the</w:t>
      </w:r>
      <w:r>
        <w:t xml:space="preserve"> </w:t>
      </w:r>
      <w:r>
        <w:rPr>
          <w:bCs/>
          <w:b/>
        </w:rPr>
        <w:t xml:space="preserve">Teacher Secondary</w:t>
      </w:r>
      <w:r>
        <w:t xml:space="preserve">&lt;</w:t>
      </w:r>
    </w:p>
    <w:bookmarkEnd w:id="90"/>
    <w:bookmarkEnd w:id="9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Secondary: A Critical Analysis for the Educational Landscape of Spain Barcelona</dc:title>
  <dc:creator/>
  <dc:language>en</dc:language>
  <cp:keywords/>
  <dcterms:created xsi:type="dcterms:W3CDTF">2026-07-29T16:10:03Z</dcterms:created>
  <dcterms:modified xsi:type="dcterms:W3CDTF">2026-07-29T16:10:03Z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