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Ankara,</w:t>
      </w:r>
      <w:r>
        <w:t xml:space="preserve"> </w:t>
      </w:r>
      <w:r>
        <w:t xml:space="preserve">Turkey:</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32" w:name="X92bc9cbbbfba00dbfb0131c96f69af20ded3a19"/>
    <w:p>
      <w:pPr>
        <w:pStyle w:val="Heading1"/>
      </w:pPr>
      <w:r>
        <w:t xml:space="preserve">The Role of Teacher Secondary Education in Ankara, Turkey: Challenges and Opportunities</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i.-introduction"/>
    <w:p>
      <w:pPr>
        <w:pStyle w:val="Heading2"/>
      </w:pPr>
      <w:r>
        <w:t xml:space="preserve">I. Introduction</w:t>
      </w:r>
    </w:p>
    <w:p>
      <w:pPr>
        <w:pStyle w:val="FirstParagraph"/>
      </w:pPr>
      <w:r>
        <w:t xml:space="preserve">Ankara, the capital city of Turkey, serves as a critical hub for national educational policy and administration. As the seat of the Ministry of National Education (MEB), Ankara influences pedagogical standards across the entire nation. Within this bustling metropolitan context, secondary education plays a pivotal role in shaping the future workforce and citizenry of Turkey. The "Teacher Secondary" framework refers to educators operating within middle schools (ortaokul) and high schools (lise), guiding adolescents through a formative period of cognitive, social, and academic development.</w:t>
      </w:r>
    </w:p>
    <w:p>
      <w:pPr>
        <w:pStyle w:val="BodyText"/>
      </w:pPr>
      <w:r>
        <w:t xml:space="preserve">This research paper aims to analyze the current state of secondary education in Ankara. It explores the specific challenges faced by teachers in this dynamic urban environment, examines the opportunities presented by digital transformation and multicultural student populations, and proposes strategic improvements to enhance educational outcomes. By focusing on Ankara as a microcosm of Turkish education, we can derive insights applicable to broader national reforms.</w:t>
      </w:r>
    </w:p>
    <w:bookmarkEnd w:id="20"/>
    <w:bookmarkStart w:id="21" w:name="X3a35fbc247e475374b4d3a9fdcb710d3c44751c"/>
    <w:p>
      <w:pPr>
        <w:pStyle w:val="Heading2"/>
      </w:pPr>
      <w:r>
        <w:t xml:space="preserve">II. The Context of Secondary Education in Ankara</w:t>
      </w:r>
    </w:p>
    <w:p>
      <w:pPr>
        <w:pStyle w:val="FirstParagraph"/>
      </w:pPr>
      <w:r>
        <w:t xml:space="preserve">Ankara’s educational landscape is characterized by diversity and rapid urbanization. The city hosts students from various socioeconomic backgrounds, ranging from affluent districts such as Çankaya to rapidly developing residential areas on the city's periphery. This demographic variety necessitates a versatile approach to teaching.</w:t>
      </w:r>
    </w:p>
    <w:p>
      <w:pPr>
        <w:pStyle w:val="BodyText"/>
      </w:pPr>
      <w:r>
        <w:t xml:space="preserve">In Turkey, the transition from primary to secondary education occurs at age twelve, marking a significant shift in curriculum complexity and student autonomy. In Ankara, "Teacher Secondary" professionals must navigate this transition while addressing varying levels of prior knowledge among students coming from different primary schools across the province. The presence of numerous Anatolian High Schools (Anadolu Liseleri) and Science High Schools (Fen Liseleri) further adds to the competitive nature of secondary education in the capital, creating an environment where academic excellence is highly prioritized.</w:t>
      </w:r>
    </w:p>
    <w:bookmarkEnd w:id="21"/>
    <w:bookmarkStart w:id="25" w:name="X1534be18ed3bb1ff30b909c7ce5eba73cf32578"/>
    <w:p>
      <w:pPr>
        <w:pStyle w:val="Heading2"/>
      </w:pPr>
      <w:r>
        <w:t xml:space="preserve">III. Key Challenges Facing Secondary Teachers</w:t>
      </w:r>
    </w:p>
    <w:bookmarkStart w:id="22" w:name="a.-socio-economic-disparities"/>
    <w:p>
      <w:pPr>
        <w:pStyle w:val="Heading3"/>
      </w:pPr>
      <w:r>
        <w:t xml:space="preserve">A. Socio-Economic Disparities</w:t>
      </w:r>
    </w:p>
    <w:p>
      <w:pPr>
        <w:pStyle w:val="FirstParagraph"/>
      </w:pPr>
      <w:r>
        <w:t xml:space="preserve">One of the most significant challenges for teachers in Ankara is managing classroom heterogeneity resulting from socio-economic disparities. Students from low-income families may lack access to private tutoring (dershanes), which is prevalent in Turkey’s secondary education system. Teachers are often required to bridge this gap, providing additional support without adequate resources or reduced class sizes.</w:t>
      </w:r>
    </w:p>
    <w:bookmarkEnd w:id="22"/>
    <w:bookmarkStart w:id="23" w:name="b.-psychological-and-social-pressures"/>
    <w:p>
      <w:pPr>
        <w:pStyle w:val="Heading3"/>
      </w:pPr>
      <w:r>
        <w:t xml:space="preserve">B. Psychological and Social Pressures</w:t>
      </w:r>
    </w:p>
    <w:p>
      <w:pPr>
        <w:pStyle w:val="FirstParagraph"/>
      </w:pPr>
      <w:r>
        <w:t xml:space="preserve">The LGS (Student Placement System) for middle schools and the YKS (University Entrance Exam) for high school students exert immense pressure on both learners and educators. Ankara teachers frequently report high levels of stress associated with meeting standardized test targets. This pressure can detract from holistic education, forcing a focus on rote memorization rather than critical thinking and creativity.</w:t>
      </w:r>
    </w:p>
    <w:bookmarkEnd w:id="23"/>
    <w:bookmarkStart w:id="24" w:name="c.-large-class-sizes"/>
    <w:p>
      <w:pPr>
        <w:pStyle w:val="Heading3"/>
      </w:pPr>
      <w:r>
        <w:t xml:space="preserve">C. Large Class Sizes</w:t>
      </w:r>
    </w:p>
    <w:p>
      <w:pPr>
        <w:pStyle w:val="FirstParagraph"/>
      </w:pPr>
      <w:r>
        <w:t xml:space="preserve">In many public schools across Ankara, class sizes exceed recommended limits due to urban migration and population growth. Managing large classes impedes individualized attention, making it difficult for secondary teachers to address specific learning needs or foster meaningful classroom discussions.</w:t>
      </w:r>
    </w:p>
    <w:bookmarkEnd w:id="24"/>
    <w:bookmarkEnd w:id="25"/>
    <w:bookmarkStart w:id="29" w:name="X5e2f50a3b1f60c7bb56a9acc57f5f11e98bce08"/>
    <w:p>
      <w:pPr>
        <w:pStyle w:val="Heading2"/>
      </w:pPr>
      <w:r>
        <w:t xml:space="preserve">IV. Opportunities for Innovation and Growth</w:t>
      </w:r>
    </w:p>
    <w:bookmarkStart w:id="26" w:name="a.-digital-transformation"/>
    <w:p>
      <w:pPr>
        <w:pStyle w:val="Heading3"/>
      </w:pPr>
      <w:r>
        <w:t xml:space="preserve">A. Digital Transformation</w:t>
      </w:r>
    </w:p>
    <w:p>
      <w:pPr>
        <w:pStyle w:val="FirstParagraph"/>
      </w:pPr>
      <w:r>
        <w:t xml:space="preserve">Ankara is at the forefront of Turkey’s digital education initiatives. The widespread adoption of EBA (Education Information Network) has provided teachers with a robust platform for remote learning, resource sharing, and interactive lessons. Secondary educators can leverage these tools to create blended learning environments that cater to diverse learning styles.</w:t>
      </w:r>
    </w:p>
    <w:bookmarkEnd w:id="26"/>
    <w:bookmarkStart w:id="27" w:name="b.-multicultural-competence"/>
    <w:p>
      <w:pPr>
        <w:pStyle w:val="Heading3"/>
      </w:pPr>
      <w:r>
        <w:t xml:space="preserve">B. Multicultural Competence</w:t>
      </w:r>
    </w:p>
    <w:p>
      <w:pPr>
        <w:pStyle w:val="FirstParagraph"/>
      </w:pPr>
      <w:r>
        <w:t xml:space="preserve">As the capital city, Ankara hosts a significant population of refugee students and children from international families. Teachers who develop intercultural communication skills and inclusive pedagogies can foster a more cohesive school community. This experience not only benefits the immediate student body but also prepares Turkish youth for global citizenship.</w:t>
      </w:r>
    </w:p>
    <w:bookmarkEnd w:id="27"/>
    <w:bookmarkStart w:id="28" w:name="c.-research-based-practice"/>
    <w:p>
      <w:pPr>
        <w:pStyle w:val="Heading3"/>
      </w:pPr>
      <w:r>
        <w:t xml:space="preserve">C. Research-Based Practice</w:t>
      </w:r>
    </w:p>
    <w:p>
      <w:pPr>
        <w:pStyle w:val="FirstParagraph"/>
      </w:pPr>
      <w:r>
        <w:t xml:space="preserve">The proximity to numerous universities, including Hacettepe University and Ankara University, offers opportunities for collaborative research between practitioners and academics. Secondary teachers in Ankara can engage in action research to improve their methodologies and contribute to the broader educational discourse.</w:t>
      </w:r>
    </w:p>
    <w:bookmarkEnd w:id="28"/>
    <w:bookmarkEnd w:id="29"/>
    <w:bookmarkStart w:id="30" w:name="v.-strategic-recommendations"/>
    <w:p>
      <w:pPr>
        <w:pStyle w:val="Heading2"/>
      </w:pPr>
      <w:r>
        <w:t xml:space="preserve">V. Strategic Recommendations</w:t>
      </w:r>
    </w:p>
    <w:p>
      <w:pPr>
        <w:numPr>
          <w:ilvl w:val="0"/>
          <w:numId w:val="1001"/>
        </w:numPr>
        <w:pStyle w:val="Compact"/>
      </w:pPr>
      <w:r>
        <w:rPr>
          <w:bCs/>
          <w:b/>
        </w:rPr>
        <w:t xml:space="preserve">Pedagogical Training:</w:t>
      </w:r>
      <w:r>
        <w:t xml:space="preserve"> </w:t>
      </w:r>
      <w:r>
        <w:t xml:space="preserve">Continuous professional development programs should focus on differentiated instruction, classroom management for large groups, and social-emotional learning strategies tailored to the Ankara context.</w:t>
      </w:r>
    </w:p>
    <w:p>
      <w:pPr>
        <w:numPr>
          <w:ilvl w:val="0"/>
          <w:numId w:val="1001"/>
        </w:numPr>
        <w:pStyle w:val="Compact"/>
      </w:pPr>
      <w:r>
        <w:rPr>
          <w:bCs/>
          <w:b/>
        </w:rPr>
        <w:t xml:space="preserve">Mental Health Support:</w:t>
      </w:r>
      <w:r>
        <w:t xml:space="preserve"> </w:t>
      </w:r>
      <w:r>
        <w:t xml:space="preserve">Schools must integrate psychological counseling services into daily operations. Teachers should be equipped with skills to identify early signs of student anxiety and burnout.</w:t>
      </w:r>
    </w:p>
    <w:p>
      <w:pPr>
        <w:numPr>
          <w:ilvl w:val="0"/>
          <w:numId w:val="1001"/>
        </w:numPr>
        <w:pStyle w:val="Compact"/>
      </w:pPr>
      <w:r>
        <w:rPr>
          <w:bCs/>
          <w:b/>
        </w:rPr>
        <w:t xml:space="preserve">Community Engagement:</w:t>
      </w:r>
    </w:p>
    <w:p>
      <w:pPr>
        <w:numPr>
          <w:ilvl w:val="0"/>
          <w:numId w:val="1001"/>
        </w:numPr>
        <w:pStyle w:val="Compact"/>
      </w:pPr>
      <w:r>
        <w:rPr>
          <w:bCs/>
          <w:b/>
        </w:rPr>
        <w:t xml:space="preserve">Tech Integration:</w:t>
      </w:r>
      <w:r>
        <w:t xml:space="preserve">: While digital tools are available, teachers need training on how to effectively integrate technology into curriculum design to enhance engagement rather than merely digitizing traditional methods.</w:t>
      </w:r>
    </w:p>
    <w:bookmarkEnd w:id="30"/>
    <w:bookmarkStart w:id="31" w:name="vi.-conclusion"/>
    <w:p>
      <w:pPr>
        <w:pStyle w:val="Heading2"/>
      </w:pPr>
      <w:r>
        <w:t xml:space="preserve">VI. Conclusion</w:t>
      </w:r>
    </w:p>
    <w:p>
      <w:pPr>
        <w:pStyle w:val="FirstParagraph"/>
      </w:pPr>
      <w:r>
        <w:t xml:space="preserve">The role of secondary education in Ankara is undeniably central to Turkey’s educational future. The "Teacher Secondary" professionals working in this region face unique challenges stemming from urbanization, socio-economic inequality, and high-stakes testing regimes. However, they also operate within an environment rich with opportunities for innovation through digital tools and intercultural exchange.</w:t>
      </w:r>
    </w:p>
    <w:p>
      <w:pPr>
        <w:pStyle w:val="BodyText"/>
      </w:pPr>
      <w:r>
        <w:t xml:space="preserve">To ensure the success of secondary education in Ankara, a holistic approach is required—one that supports teachers professionally and psychologically while empowering students to become critical thinkers and compassionate citizens. By addressing these challenges with targeted policies and community collaboration, Ankara can serve as a model for high-quality secondary education throughout Turkey.</w:t>
      </w:r>
    </w:p>
    <w:p>
      <w:r>
        <w:pict>
          <v:rect style="width:0;height:1.5pt" o:hralign="center" o:hrstd="t" o:hr="t"/>
        </w:pict>
      </w:r>
    </w:p>
    <w:p>
      <w:pPr>
        <w:pStyle w:val="FirstParagraph"/>
      </w:pPr>
      <w:r>
        <w:rPr>
          <w:iCs/>
          <w:i/>
        </w:rPr>
        <w:t xml:space="preserve">This document was prepared for educational analysis purposes regarding secondary teacher roles in Ankara, Turkey.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Teacher Secondary Education in Ankara, Turkey: Challenges and Opportunities</dc:title>
  <dc:creator/>
  <dc:language>en</dc:language>
  <cp:keywords/>
  <dcterms:created xsi:type="dcterms:W3CDTF">2026-07-29T10:36:54Z</dcterms:created>
  <dcterms:modified xsi:type="dcterms:W3CDTF">2026-07-29T10:36:54Z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