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32" w:name="X144750c3373dc685d6e4a699ac28631697dc6a4"/>
    <w:p>
      <w:pPr>
        <w:pStyle w:val="Heading1"/>
      </w:pPr>
      <w:r>
        <w:t xml:space="preserve">The Strategic Imperative of Translator Interpreter Services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Public Service and Private Enterprise</w:t>
      </w:r>
      <w:r>
        <w:br/>
      </w:r>
    </w:p>
    <w:bookmarkStart w:id="20" w:name="abstract"/>
    <w:p>
      <w:pPr>
        <w:pStyle w:val="Heading3"/>
      </w:pPr>
      <w:r>
        <w:t xml:space="preserve">Abstract</w:t>
      </w:r>
    </w:p>
    <w:p>
      <w:pPr>
        <w:pStyle w:val="FirstParagraph"/>
      </w:pPr>
      <w:r>
        <w:t xml:space="preserve">This research paper examines the critical role of Translator Interpreter services within the specific context of Australia Melbourne. As a global hub for migration, tourism, and international business, Melbourne necessitates robust linguistic support systems. This document analyzes the demand drivers, regulatory frameworks, sectoral applications (healthcare, legal education), and technological integration required to effectively deploy Translator Interpreter resources in this dynamic metropolitan region.</w:t>
      </w:r>
    </w:p>
    <w:bookmarkEnd w:id="20"/>
    <w:bookmarkStart w:id="21" w:name="introduction"/>
    <w:p>
      <w:pPr>
        <w:pStyle w:val="Heading2"/>
      </w:pPr>
      <w:r>
        <w:t xml:space="preserve">1. Introduction</w:t>
      </w:r>
    </w:p>
    <w:p>
      <w:pPr>
        <w:pStyle w:val="FirstParagraph"/>
      </w:pPr>
      <w:r>
        <w:t xml:space="preserve">Melbourne has long been recognized as one of the most liveable cities in the world, a status largely attributed to its cultural diversity, educational excellence, and vibrant economic landscape. However, this cosmopolitan character presents unique challenges regarding communication accessibility. In</w:t>
      </w:r>
      <w:r>
        <w:t xml:space="preserve"> </w:t>
      </w:r>
      <w:r>
        <w:rPr>
          <w:bCs/>
          <w:b/>
        </w:rPr>
        <w:t xml:space="preserve">Australia Melbourne</w:t>
      </w:r>
      <w:r>
        <w:t xml:space="preserve">, where a significant portion of the population consists of recent arrivals from non-English speaking backgrounds (NESB), as well as international students and tourists, the need for professional</w:t>
      </w:r>
      <w:r>
        <w:t xml:space="preserve"> </w:t>
      </w:r>
      <w:r>
        <w:rPr>
          <w:bCs/>
          <w:b/>
        </w:rPr>
        <w:t xml:space="preserve">Translator Interpreter</w:t>
      </w:r>
      <w:r>
        <w:t xml:space="preserve"> </w:t>
      </w:r>
      <w:r>
        <w:t xml:space="preserve">services is not merely a convenience but a fundamental requirement for social cohesion and operational efficiency.</w:t>
      </w:r>
    </w:p>
    <w:p>
      <w:pPr>
        <w:pStyle w:val="BodyText"/>
      </w:pPr>
      <w:r>
        <w:t xml:space="preserve">The distinction between translation (written text) and interpretation (spoken language) remains vital. In the context of</w:t>
      </w:r>
      <w:r>
        <w:t xml:space="preserve"> </w:t>
      </w:r>
      <w:r>
        <w:rPr>
          <w:bCs/>
          <w:b/>
        </w:rPr>
        <w:t xml:space="preserve">Australia Melbourne</w:t>
      </w:r>
      <w:r>
        <w:t xml:space="preserve">, both disciplines are intertwined in their application to public services, legal proceedings, healthcare delivery, and corporate communications. This paper argues that the effective integration of high-quality linguistic services is a cornerstone of inclusive policy-making in this jurisdiction.</w:t>
      </w:r>
    </w:p>
    <w:bookmarkEnd w:id="21"/>
    <w:bookmarkStart w:id="22" w:name="X5a8bac02a7e3aab5f57aa790d58a500f92e2628"/>
    <w:p>
      <w:pPr>
        <w:pStyle w:val="Heading2"/>
      </w:pPr>
      <w:r>
        <w:t xml:space="preserve">2. Demographic Drivers and Socio-Economic Context</w:t>
      </w:r>
    </w:p>
    <w:p>
      <w:pPr>
        <w:pStyle w:val="FirstParagraph"/>
      </w:pPr>
      <w:r>
        <w:t xml:space="preserve">To understand the necessity of</w:t>
      </w:r>
      <w:r>
        <w:t xml:space="preserve"> </w:t>
      </w:r>
      <w:r>
        <w:rPr>
          <w:bCs/>
          <w:b/>
        </w:rPr>
        <w:t xml:space="preserve">Translator Interpreter</w:t>
      </w:r>
      <w:r>
        <w:t xml:space="preserve"> </w:t>
      </w:r>
      <w:r>
        <w:t xml:space="preserve">services, one must first analyze the demographic fabric of</w:t>
      </w:r>
      <w:r>
        <w:t xml:space="preserve"> </w:t>
      </w:r>
      <w:r>
        <w:rPr>
          <w:bCs/>
          <w:b/>
        </w:rPr>
        <w:t xml:space="preserve">Australia Melbourne</w:t>
      </w:r>
      <w:r>
        <w:t xml:space="preserve">. According to recent census data, a substantial percentage of Melburnians speak a language other than English at home. Cities such as Preston, Broadmeadows, and Footscray exhibit high concentrations of linguistic diversity. This demographic reality creates an immediate demand for bilingual professionals who can bridge the gap between government institutions and diverse communities.</w:t>
      </w:r>
    </w:p>
    <w:p>
      <w:pPr>
        <w:pStyle w:val="BodyText"/>
      </w:pPr>
      <w:r>
        <w:t xml:space="preserve">Furthermore,</w:t>
      </w:r>
      <w:r>
        <w:t xml:space="preserve"> </w:t>
      </w:r>
      <w:r>
        <w:rPr>
          <w:bCs/>
          <w:b/>
        </w:rPr>
        <w:t xml:space="preserve">Australia Melbourne</w:t>
      </w:r>
      <w:r>
        <w:t xml:space="preserve"> </w:t>
      </w:r>
      <w:r>
        <w:t xml:space="preserve">is a global capital for international education. With thousands of overseas students enrolling annually, universities and associated support services require robust interpreter provisions to ensure these individuals can navigate academic requirements, health services, and legal obligations without linguistic barriers. The economic impact of miscommunication in this sector can be severe, ranging from student distress to reputational damage for educational institutions.</w:t>
      </w:r>
    </w:p>
    <w:bookmarkEnd w:id="22"/>
    <w:bookmarkStart w:id="26" w:name="X759df6c89b7737bfa4be46c488408c5aa374138"/>
    <w:p>
      <w:pPr>
        <w:pStyle w:val="Heading2"/>
      </w:pPr>
      <w:r>
        <w:t xml:space="preserve">3. Sectoral Applications of Translator Interpreter Services</w:t>
      </w:r>
    </w:p>
    <w:bookmarkStart w:id="23" w:name="healthcare-and-medical-ethics"/>
    <w:p>
      <w:pPr>
        <w:pStyle w:val="Heading3"/>
      </w:pPr>
      <w:r>
        <w:t xml:space="preserve">3.1 Healthcare and Medical Ethics</w:t>
      </w:r>
    </w:p>
    <w:p>
      <w:pPr>
        <w:pStyle w:val="FirstParagraph"/>
      </w:pPr>
      <w:r>
        <w:t xml:space="preserve">In the healthcare sector within</w:t>
      </w:r>
      <w:r>
        <w:t xml:space="preserve"> </w:t>
      </w:r>
      <w:r>
        <w:rPr>
          <w:bCs/>
          <w:b/>
        </w:rPr>
        <w:t xml:space="preserve">Australia Melbourne</w:t>
      </w:r>
      <w:r>
        <w:t xml:space="preserve">, the role of the</w:t>
      </w:r>
      <w:r>
        <w:t xml:space="preserve"> </w:t>
      </w:r>
      <w:r>
        <w:rPr>
          <w:bCs/>
          <w:b/>
        </w:rPr>
        <w:t xml:space="preserve">Translator Interpreter</w:t>
      </w:r>
    </w:p>
    <w:p>
      <w:pPr>
        <w:pStyle w:val="BodyText"/>
      </w:pPr>
      <w:r>
        <w:t xml:space="preserve">Hospitals and clinics in Melbourne are mandated to provide access to interpretation services. Professional interpreters ensure that informed consent is truly informed. Unlike ad-hoc arrangements involving family members—which pose risks of bias and privacy breaches—the use of certified</w:t>
      </w:r>
      <w:r>
        <w:t xml:space="preserve"> </w:t>
      </w:r>
      <w:r>
        <w:rPr>
          <w:bCs/>
          <w:b/>
        </w:rPr>
        <w:t xml:space="preserve">Translator Interpreter</w:t>
      </w:r>
    </w:p>
    <w:bookmarkEnd w:id="23"/>
    <w:bookmarkStart w:id="24" w:name="legal-systems-and-justice"/>
    <w:p>
      <w:pPr>
        <w:pStyle w:val="Heading3"/>
      </w:pPr>
      <w:r>
        <w:t xml:space="preserve">3.2 Legal Systems and Justice</w:t>
      </w:r>
    </w:p>
    <w:p>
      <w:pPr>
        <w:pStyle w:val="FirstParagraph"/>
      </w:pPr>
      <w:r>
        <w:t xml:space="preserve">The justice system in</w:t>
      </w:r>
      <w:r>
        <w:t xml:space="preserve"> </w:t>
      </w:r>
      <w:r>
        <w:rPr>
          <w:bCs/>
          <w:b/>
        </w:rPr>
        <w:t xml:space="preserve">Australia Melbourne</w:t>
      </w:r>
      <w:r>
        <w:t xml:space="preserve"> </w:t>
      </w:r>
      <w:r>
        <w:t xml:space="preserve">operates under strict procedural fairness guidelines. Individuals lacking proficiency in English face significant disadvantages if they cannot understand police interviews, court proceedings, or legal documentation. The presence of accredited</w:t>
      </w:r>
    </w:p>
    <w:p>
      <w:pPr>
        <w:pStyle w:val="BodyText"/>
      </w:pPr>
      <w:r>
        <w:t xml:space="preserve">Translator Interpreter</w:t>
      </w:r>
    </w:p>
    <w:p>
      <w:pPr>
        <w:pStyle w:val="BodyText"/>
      </w:pPr>
      <w:r>
        <w:t xml:space="preserve">In criminal and family law cases, a single mistranslated phrase can alter the outcome of a trial or custody arrangement. Therefore, Melbourne’s legal sector relies heavily on interpreters registered with bodies such as NAATI (National Accreditation Authority for Translators and Interpreters). These standards ensure that the linguistic integrity of legal proceedings in</w:t>
      </w:r>
      <w:r>
        <w:t xml:space="preserve"> </w:t>
      </w:r>
      <w:r>
        <w:rPr>
          <w:bCs/>
          <w:b/>
        </w:rPr>
        <w:t xml:space="preserve">Australia Melbourne</w:t>
      </w:r>
      <w:r>
        <w:t xml:space="preserve"> </w:t>
      </w:r>
      <w:r>
        <w:t xml:space="preserve">is maintained.</w:t>
      </w:r>
    </w:p>
    <w:bookmarkEnd w:id="24"/>
    <w:bookmarkStart w:id="25" w:name="education-and-government-services"/>
    <w:p>
      <w:pPr>
        <w:pStyle w:val="Heading3"/>
      </w:pPr>
      <w:r>
        <w:t xml:space="preserve">3.3 Education and Government Services</w:t>
      </w:r>
    </w:p>
    <w:p>
      <w:pPr>
        <w:pStyle w:val="FirstParagraph"/>
      </w:pPr>
      <w:r>
        <w:t xml:space="preserve">Educational institutions in Melbourne utilize translator services to communicate with parents and guardians, particularly regarding student welfare and academic progress. Additionally, government agencies dealing with housing, social security (Centrelink), and immigration require translators to process applications accurately. The complexity of Australian administrative forms often necessitates professional translation into languages such as Mandarin Arabic Vietnamese Hindi and Spanish.</w:t>
      </w:r>
    </w:p>
    <w:bookmarkEnd w:id="25"/>
    <w:bookmarkEnd w:id="26"/>
    <w:bookmarkStart w:id="27" w:name="Xf8c719d2ef2d44dc8d18bff52a09f4554478458"/>
    <w:p>
      <w:pPr>
        <w:pStyle w:val="Heading2"/>
      </w:pPr>
      <w:r>
        <w:t xml:space="preserve">4. Regulatory Frameworks and Professional Standards</w:t>
      </w:r>
    </w:p>
    <w:p>
      <w:pPr>
        <w:pStyle w:val="FirstParagraph"/>
      </w:pPr>
      <w:r>
        <w:t xml:space="preserve">The quality of</w:t>
      </w:r>
    </w:p>
    <w:p>
      <w:pPr>
        <w:pStyle w:val="BodyText"/>
      </w:pPr>
      <w:r>
        <w:t xml:space="preserve">Translator Interpreter</w:t>
      </w:r>
    </w:p>
    <w:p>
      <w:pPr>
        <w:pStyle w:val="BodyText"/>
      </w:pPr>
      <w:r>
        <w:t xml:space="preserve">Australia Melbourne is governed by national standards, primarily those set by NAATI. This body sets the benchmarks for competency, ethical conduct, and professional development.</w:t>
      </w:r>
    </w:p>
    <w:p>
      <w:pPr>
        <w:pStyle w:val="BodyText"/>
      </w:pPr>
      <w:r>
        <w:t xml:space="preserve">In Victoria specifically, state legislation supports the provision of interpreted services in areas such as health and community services. However, challenges remain in funding continuity and awareness among service providers about their legal obligations. Stakeholders in</w:t>
      </w:r>
      <w:r>
        <w:t xml:space="preserve"> </w:t>
      </w:r>
      <w:r>
        <w:rPr>
          <w:bCs/>
          <w:b/>
        </w:rPr>
        <w:t xml:space="preserve">Australia Melbourne</w:t>
      </w:r>
      <w:r>
        <w:t xml:space="preserve"> </w:t>
      </w:r>
      <w:r>
        <w:t xml:space="preserve">are encouraged to advocate for stronger enforcement of these standards to ensure that linguistic minorities receive equitable treatment.</w:t>
      </w:r>
    </w:p>
    <w:bookmarkEnd w:id="27"/>
    <w:bookmarkStart w:id="28" w:name="Xcd36086275c80d2854fe9020cca76a12f4e912e"/>
    <w:p>
      <w:pPr>
        <w:pStyle w:val="Heading2"/>
      </w:pPr>
      <w:r>
        <w:t xml:space="preserve">5. Technological Integration: AI and Human Expertise</w:t>
      </w:r>
    </w:p>
    <w:p>
      <w:pPr>
        <w:pStyle w:val="FirstParagraph"/>
      </w:pPr>
      <w:r>
        <w:t xml:space="preserve">The rise of Artificial Intelligence (AI) has sparked debate regarding the future role of human</w:t>
      </w:r>
    </w:p>
    <w:p>
      <w:pPr>
        <w:pStyle w:val="BodyText"/>
      </w:pPr>
      <w:r>
        <w:t xml:space="preserve">Translator Interpreter</w:t>
      </w:r>
    </w:p>
    <w:p>
      <w:pPr>
        <w:pStyle w:val="BodyText"/>
      </w:pPr>
      <w:r>
        <w:t xml:space="preserve">Australia Melbourne. While AI tools offer rapid translation for simple, everyday interactions, they currently lack the cultural nuance and contextual understanding required for high-stakes environments.</w:t>
      </w:r>
    </w:p>
    <w:p>
      <w:pPr>
        <w:pStyle w:val="BodyText"/>
      </w:pPr>
      <w:r>
        <w:t xml:space="preserve">In healthcare and legal settings in Melbourne, technology is best viewed as a supplementary tool rather than a replacement. Real-time translation apps may assist in low-risk scenarios but cannot replace the empathy and accountability of a human interpreter. Research indicates that hybrid models, where AI handles preliminary data processing while human experts focus on complex interpretation, offer the most viable path forward for</w:t>
      </w:r>
      <w:r>
        <w:t xml:space="preserve"> </w:t>
      </w:r>
      <w:r>
        <w:rPr>
          <w:bCs/>
          <w:b/>
        </w:rPr>
        <w:t xml:space="preserve">Australia Melbourne</w:t>
      </w:r>
      <w:r>
        <w:t xml:space="preserve">.</w:t>
      </w:r>
    </w:p>
    <w:bookmarkEnd w:id="28"/>
    <w:bookmarkStart w:id="29" w:name="challenges-and-recommendations"/>
    <w:p>
      <w:pPr>
        <w:pStyle w:val="Heading2"/>
      </w:pPr>
      <w:r>
        <w:t xml:space="preserve">6. Challenges and Recommendations</w:t>
      </w:r>
    </w:p>
    <w:p>
      <w:pPr>
        <w:pStyle w:val="FirstParagraph"/>
      </w:pPr>
      <w:r>
        <w:t xml:space="preserve">Despite the clear need, several challenges persist:</w:t>
      </w:r>
    </w:p>
    <w:p>
      <w:pPr>
        <w:numPr>
          <w:ilvl w:val="0"/>
          <w:numId w:val="1001"/>
        </w:numPr>
        <w:pStyle w:val="Compact"/>
      </w:pPr>
      <w:r>
        <w:rPr>
          <w:bCs/>
          <w:b/>
        </w:rPr>
        <w:t xml:space="preserve">Funding Gaps:</w:t>
      </w:r>
      <w:r>
        <w:t xml:space="preserve">Inconsistent government funding limits access for low-income communities.</w:t>
      </w:r>
    </w:p>
    <w:p>
      <w:pPr>
        <w:numPr>
          <w:ilvl w:val="0"/>
          <w:numId w:val="1001"/>
        </w:numPr>
        <w:pStyle w:val="Compact"/>
      </w:pPr>
      <w:r>
        <w:rPr>
          <w:bCs/>
          <w:b/>
        </w:rPr>
        <w:t xml:space="preserve">Mental Load:</w:t>
      </w:r>
    </w:p>
    <w:p>
      <w:pPr>
        <w:numPr>
          <w:ilvl w:val="0"/>
          <w:numId w:val="1001"/>
        </w:numPr>
        <w:pStyle w:val="Compact"/>
      </w:pPr>
      <w:r>
        <w:t xml:space="preserve">Awareness:</w:t>
      </w:r>
    </w:p>
    <w:p>
      <w:pPr>
        <w:numPr>
          <w:ilvl w:val="0"/>
          <w:numId w:val="1000"/>
        </w:numPr>
        <w:pStyle w:val="Compact"/>
      </w:pPr>
      <w:r>
        <w:t xml:space="preserve">Australia Melbourne are unaware of their obligations to provide linguistic access.</w:t>
      </w:r>
    </w:p>
    <w:p>
      <w:pPr>
        <w:pStyle w:val="FirstParagraph"/>
      </w:pPr>
      <w:r>
        <w:rPr>
          <w:bCs/>
          <w:b/>
        </w:rPr>
        <w:t xml:space="preserve">Recommendations:</w:t>
      </w:r>
    </w:p>
    <w:p>
      <w:pPr>
        <w:pStyle w:val="BodyText"/>
      </w:pPr>
      <w:r>
        <w:t xml:space="preserve">Increase funding for community-based interpretation programs in high-need suburbs of Melbourne.</w:t>
      </w:r>
    </w:p>
    <w:p>
      <w:pPr>
        <w:pStyle w:val="BodyText"/>
      </w:pPr>
      <w:r>
        <w:t xml:space="preserve">Mandate regular training for professionals on cultural competency and trauma-informed care.</w:t>
      </w:r>
    </w:p>
    <w:p>
      <w:pPr>
        <w:pStyle w:val="BodyText"/>
      </w:pPr>
      <w:r>
        <w:t xml:space="preserve">Promote digital literacy among government agencies to facilitate seamless booking of</w:t>
      </w:r>
    </w:p>
    <w:p>
      <w:pPr>
        <w:pStyle w:val="BodyText"/>
      </w:pPr>
      <w:r>
        <w:t xml:space="preserve">Translator Interpreter</w:t>
      </w:r>
    </w:p>
    <w:bookmarkEnd w:id="29"/>
    <w:bookmarkStart w:id="30" w:name="conclusion"/>
    <w:p>
      <w:pPr>
        <w:pStyle w:val="Heading2"/>
      </w:pPr>
      <w:r>
        <w:t xml:space="preserve">7. Conclusion</w:t>
      </w:r>
    </w:p>
    <w:p>
      <w:pPr>
        <w:pStyle w:val="FirstParagraph"/>
      </w:pPr>
      <w:r>
        <w:t xml:space="preserve">The efficacy of public services and the inclusivity of society in</w:t>
      </w:r>
      <w:r>
        <w:t xml:space="preserve"> </w:t>
      </w:r>
      <w:r>
        <w:rPr>
          <w:bCs/>
          <w:b/>
        </w:rPr>
        <w:t xml:space="preserve">Australia Melbourne</w:t>
      </w:r>
      <w:r>
        <w:t xml:space="preserve">Translator Interpreter</w:t>
      </w:r>
    </w:p>
    <w:p>
      <w:pPr>
        <w:pStyle w:val="BodyText"/>
      </w:pPr>
      <w:r>
        <w:t xml:space="preserve">By adhering to strict professional standards, leveraging technology appropriately and investing in the well-being of language professionals,</w:t>
      </w:r>
      <w:r>
        <w:rPr>
          <w:bCs/>
          <w:b/>
        </w:rPr>
        <w:t xml:space="preserve">Australia Melbourne</w:t>
      </w:r>
    </w:p>
    <w:bookmarkEnd w:id="30"/>
    <w:bookmarkStart w:id="31" w:name="references-selected"/>
    <w:p>
      <w:pPr>
        <w:pStyle w:val="Heading2"/>
      </w:pPr>
      <w:r>
        <w:t xml:space="preserve">8. References (Selected)</w:t>
      </w:r>
    </w:p>
    <w:p>
      <w:pPr>
        <w:numPr>
          <w:ilvl w:val="0"/>
          <w:numId w:val="1002"/>
        </w:numPr>
        <w:pStyle w:val="Compact"/>
      </w:pPr>
      <w:r>
        <w:t xml:space="preserve">National Accreditation Authority for Translators and Interpreters (NAATI). Standards for Professional Practice.</w:t>
      </w:r>
    </w:p>
    <w:p>
      <w:pPr>
        <w:numPr>
          <w:ilvl w:val="0"/>
          <w:numId w:val="1002"/>
        </w:numPr>
        <w:pStyle w:val="Compact"/>
      </w:pPr>
      <w:r>
        <w:t xml:space="preserve">Victorian Government Department of Health. Guidelines for Accessible Communication in Healthcare.</w:t>
      </w:r>
    </w:p>
    <w:p>
      <w:pPr>
        <w:numPr>
          <w:ilvl w:val="0"/>
          <w:numId w:val="1002"/>
        </w:numPr>
        <w:pStyle w:val="Compact"/>
      </w:pPr>
      <w:r>
        <w:t xml:space="preserve">Australian Institute of Interpretation and Translation. Reports on Linguistic Diversity in Metropolitan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 Services in Australia Melbourne</dc:title>
  <dc:creator/>
  <dc:language>en</dc:language>
  <cp:keywords/>
  <dcterms:created xsi:type="dcterms:W3CDTF">2026-07-29T09:17:46Z</dcterms:created>
  <dcterms:modified xsi:type="dcterms:W3CDTF">2026-07-29T09:17:46Z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