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Strategic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Translator</w:t>
      </w:r>
      <w:r>
        <w:t xml:space="preserve"> </w:t>
      </w:r>
      <w:r>
        <w:t xml:space="preserve">Interpreter</w:t>
      </w:r>
      <w:r>
        <w:t xml:space="preserve"> </w:t>
      </w:r>
      <w:r>
        <w:t xml:space="preserve">Services</w:t>
      </w:r>
      <w:r>
        <w:t xml:space="preserve"> </w:t>
      </w:r>
      <w:r>
        <w:t xml:space="preserve">in</w:t>
      </w:r>
      <w:r>
        <w:t xml:space="preserve"> </w:t>
      </w:r>
      <w:r>
        <w:t xml:space="preserve">Germany</w:t>
      </w:r>
      <w:r>
        <w:t xml:space="preserve"> </w:t>
      </w:r>
      <w:r>
        <w:t xml:space="preserve">Frankfurt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Strategic Role of Translator Interpreter Services in Germany Frankfurt</dc:title>
  <dc:creator/>
  <dc:language>en</dc:language>
  <cp:keywords/>
  <dcterms:created xsi:type="dcterms:W3CDTF">2026-09-27T00:43:13Z</dcterms:created>
  <dcterms:modified xsi:type="dcterms:W3CDTF">2026-09-27T00:43:13Z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