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35" w:name="X90d7cc19f53c213832e29d5de7fa747fcdb801f"/>
    <w:p>
      <w:pPr>
        <w:pStyle w:val="Heading1"/>
      </w:pPr>
      <w:r>
        <w:t xml:space="preserve">The Strategic Importance of Professional Translator and Interpreter Services in Iran, Tehran</w:t>
      </w:r>
    </w:p>
    <w:p>
      <w:pPr>
        <w:pStyle w:val="FirstParagraph"/>
      </w:pPr>
      <w:r>
        <w:br/>
      </w:r>
    </w:p>
    <w:p>
      <w:pPr>
        <w:pStyle w:val="BodyText"/>
      </w:pPr>
      <w:r>
        <w:rPr>
          <w:bCs/>
          <w:b/>
        </w:rPr>
        <w:t xml:space="preserve">Abstract:</w:t>
      </w:r>
    </w:p>
    <w:p>
      <w:pPr>
        <w:pStyle w:val="BodyText"/>
      </w:pPr>
      <w:r>
        <w:br/>
      </w:r>
    </w:p>
    <w:p>
      <w:pPr>
        <w:pStyle w:val="BodyText"/>
      </w:pPr>
      <w:r>
        <w:t xml:space="preserve">This research paper examines the critical role of professional translator and interpreter services within the dynamic socio-economic landscape of Iran, with a specific focus on its capital city, Tehran. As global engagement increases through diplomacy, international trade, tourism, and academic collaboration in Tehran's bustling business districts and government institutions , accurate linguistic mediation becomes paramount. This study analyzes the current demand for qualified language professionals in Iran , highlights challenges such as sanctions-related restrictions and technological integration ,and proposes strategies to enhance service quality . The findings underscore that investing in high-caliber translator and interpreter expertise is essential for Tehran’s continued development as a regional hub.</w:t>
      </w:r>
    </w:p>
    <w:p>
      <w:pPr>
        <w:pStyle w:val="BodyText"/>
      </w:pPr>
      <w:r>
        <w:br/>
      </w:r>
    </w:p>
    <w:bookmarkStart w:id="20" w:name="introduction"/>
    <w:p>
      <w:pPr>
        <w:pStyle w:val="Heading2"/>
      </w:pPr>
      <w:r>
        <w:t xml:space="preserve">1. Introduction</w:t>
      </w:r>
    </w:p>
    <w:p>
      <w:pPr>
        <w:pStyle w:val="FirstParagraph"/>
      </w:pPr>
      <w:r>
        <w:t xml:space="preserve">In an increasingly interconnected world, language serves not only as a tool for communication but also as a bridge between cultures, economies ,and political systems . For nations like Iran situated at the crossroads of Europe Asia and the Middle East effective interpretation and translation are vital components of national strategy.</w:t>
      </w:r>
    </w:p>
    <w:p>
      <w:pPr>
        <w:pStyle w:val="BodyText"/>
      </w:pPr>
      <w:r>
        <w:br/>
      </w:r>
    </w:p>
    <w:p>
      <w:pPr>
        <w:pStyle w:val="BodyText"/>
      </w:pPr>
      <w:r>
        <w:t xml:space="preserve">Tehran specifically has emerged as a focal point for international relations owing to its status as both the administrative center of Iran and a vibrant economic engine driving growth across various sectors including energy technology healthcare education ,and cultural exchange . However , despite this growing prominence many barriers remain particularly concerning access to reliable professional translator and interpreter resources.</w:t>
      </w:r>
    </w:p>
    <w:p>
      <w:pPr>
        <w:pStyle w:val="BodyText"/>
      </w:pPr>
      <w:r>
        <w:br/>
      </w:r>
    </w:p>
    <w:p>
      <w:pPr>
        <w:pStyle w:val="BodyText"/>
      </w:pPr>
      <w:r>
        <w:t xml:space="preserve">This paper aims explore how specialized linguistic support can facilitate smoother interactions among stakeholders operating within Tehran’s complex environment while addressing unique contextual factors influencing demand supply dynamics related to these essential services.</w:t>
      </w:r>
    </w:p>
    <w:p>
      <w:pPr>
        <w:pStyle w:val="BodyText"/>
      </w:pPr>
      <w:r>
        <w:br/>
      </w:r>
    </w:p>
    <w:bookmarkEnd w:id="20"/>
    <w:bookmarkStart w:id="24" w:name="Xf078887aa3e6dbdeaffbb755accab3d94ea009d"/>
    <w:p>
      <w:pPr>
        <w:pStyle w:val="Heading2"/>
      </w:pPr>
      <w:r>
        <w:t xml:space="preserve">2. Current Demand for Translator &amp; Interpreter Services in Iran , Tehran</w:t>
      </w:r>
    </w:p>
    <w:bookmarkStart w:id="21" w:name="diplomatic-engagement"/>
    <w:p>
      <w:pPr>
        <w:pStyle w:val="Heading3"/>
      </w:pPr>
      <w:r>
        <w:t xml:space="preserve">2.1 Diplomatic Engagement</w:t>
      </w:r>
    </w:p>
    <w:p>
      <w:pPr>
        <w:pStyle w:val="FirstParagraph"/>
      </w:pPr>
      <w:r>
        <w:br/>
      </w:r>
    </w:p>
    <w:p>
      <w:pPr>
        <w:pStyle w:val="BodyText"/>
      </w:pPr>
      <w:r>
        <w:t xml:space="preserve">Tehran hosts numerous embassies consulates and multilateral organizations where daily operations require simultaneous consecutive interpreting during negotiations meetings conferences etc.</w:t>
      </w:r>
    </w:p>
    <w:p>
      <w:pPr>
        <w:pStyle w:val="BodyText"/>
      </w:pPr>
      <w:r>
        <w:br/>
      </w:r>
    </w:p>
    <w:p>
      <w:pPr>
        <w:pStyle w:val="BodyText"/>
      </w:pPr>
      <w:r>
        <w:t xml:space="preserve">The Persian language (Farsi) being distinct from most widely spoken tongues globally necessitates highly skilled personnel capable handling nuances context-specific terminology technical jargon associated with fields ranging from nuclear energy discussions human rights dialogues military affairs …</w:t>
      </w:r>
    </w:p>
    <w:p>
      <w:pPr>
        <w:pStyle w:val="BodyText"/>
      </w:pPr>
      <w:r>
        <w:br/>
      </w:r>
    </w:p>
    <w:bookmarkEnd w:id="21"/>
    <w:bookmarkStart w:id="22" w:name="business-trade-facilitation"/>
    <w:p>
      <w:pPr>
        <w:pStyle w:val="Heading3"/>
      </w:pPr>
      <w:r>
        <w:t xml:space="preserve">2.2 Business &amp; Trade Facilitation</w:t>
      </w:r>
    </w:p>
    <w:p>
      <w:pPr>
        <w:pStyle w:val="FirstParagraph"/>
      </w:pPr>
      <w:r>
        <w:br/>
      </w:r>
    </w:p>
    <w:p>
      <w:pPr>
        <w:pStyle w:val="BodyText"/>
      </w:pPr>
      <w:r>
        <w:t xml:space="preserve">With ongoing efforts aimed at revitalizing Iran's economy post-sanctions era there exists significant potential for expanding partnerships between Iranian enterprises foreign counterparts requiring precise contractual agreements marketing materials customer service communications—all demanding meticulous translation work ensuring clarity mutual understanding devoid ambiguities misunderstandings leading costly disputes later stages项目实施过程中.</w:t>
      </w:r>
    </w:p>
    <w:p>
      <w:pPr>
        <w:pStyle w:val="BodyText"/>
      </w:pPr>
      <w:r>
        <w:br/>
      </w:r>
    </w:p>
    <w:bookmarkEnd w:id="22"/>
    <w:bookmarkStart w:id="23" w:name="tourism-cultural-exchange-programs"/>
    <w:p>
      <w:pPr>
        <w:pStyle w:val="Heading3"/>
      </w:pPr>
      <w:r>
        <w:t xml:space="preserve">2.3 Tourism &amp; Cultural Exchange Programs</w:t>
      </w:r>
    </w:p>
    <w:p>
      <w:pPr>
        <w:pStyle w:val="FirstParagraph"/>
      </w:pPr>
      <w:r>
        <w:br/>
      </w:r>
    </w:p>
    <w:p>
      <w:pPr>
        <w:pStyle w:val="BodyText"/>
      </w:pPr>
      <w:r>
        <w:t xml:space="preserve">Iran possesses rich historical heritage sites UNESCO-listed landmarks attracting millions visitors annually seeking immersive experiences guided by knowledgeable interpreters fluent local customs traditions alongside modern urban life characteristic metropolis like capital city Tehran itself offers diverse range attractions spanning ancient bazaars contemporary art galleries performing arts venues …</w:t>
      </w:r>
    </w:p>
    <w:p>
      <w:pPr>
        <w:pStyle w:val="BodyText"/>
      </w:pPr>
      <w:r>
        <w:br/>
      </w:r>
    </w:p>
    <w:bookmarkEnd w:id="23"/>
    <w:bookmarkEnd w:id="24"/>
    <w:bookmarkStart w:id="28" w:name="X5d5d1470b539c10f18161fc4fee5fce33e6f2c7"/>
    <w:p>
      <w:pPr>
        <w:pStyle w:val="Heading2"/>
      </w:pPr>
      <w:r>
        <w:t xml:space="preserve">3. Challenges Facing Translator &amp; Interpreter Profession in Iran , Tehran</w:t>
      </w:r>
    </w:p>
    <w:bookmarkStart w:id="25" w:name="X19c576c595b2597a22b47fc00c778e74d018bc6"/>
    <w:p>
      <w:pPr>
        <w:pStyle w:val="Heading3"/>
      </w:pPr>
      <w:r>
        <w:t xml:space="preserve">3.1 Economic Sanctions Impacting Resource Availability</w:t>
      </w:r>
    </w:p>
    <w:p>
      <w:pPr>
        <w:pStyle w:val="FirstParagraph"/>
      </w:pPr>
      <w:r>
        <w:br/>
      </w:r>
    </w:p>
    <w:p>
      <w:pPr>
        <w:pStyle w:val="BodyText"/>
      </w:pPr>
      <w:r>
        <w:t xml:space="preserve">Prolonged economic penalties imposed against Iran have restricted access to advanced tools software platforms commonly utilized elsewhere world making it difficult practitioners keep pace latest developments field limiting competitiveness internationally.</w:t>
      </w:r>
    </w:p>
    <w:p>
      <w:pPr>
        <w:pStyle w:val="BodyText"/>
      </w:pPr>
      <w:r>
        <w:br/>
      </w:r>
    </w:p>
    <w:bookmarkEnd w:id="25"/>
    <w:bookmarkStart w:id="26" w:name="Xd7f4270a28243ce5cec6b113e55e99f51434407"/>
    <w:p>
      <w:pPr>
        <w:pStyle w:val="Heading3"/>
      </w:pPr>
      <w:r>
        <w:t xml:space="preserve">2.2 Limited Standardization Training Programs</w:t>
      </w:r>
    </w:p>
    <w:p>
      <w:pPr>
        <w:pStyle w:val="FirstParagraph"/>
      </w:pPr>
      <w:r>
        <w:br/>
      </w:r>
    </w:p>
    <w:p>
      <w:pPr>
        <w:pStyle w:val="BodyText"/>
      </w:pPr>
      <w:r>
        <w:t xml:space="preserve">While several universities offer degrees linguistics translation studies lack uniformity curricula standards leaving graduates ill-prepared meet industry expectations especially given rapid evolution technologies reshaping traditional methods delivering interpreted translated content.</w:t>
      </w:r>
    </w:p>
    <w:p>
      <w:pPr>
        <w:pStyle w:val="BodyText"/>
      </w:pPr>
      <w:r>
        <w:br/>
      </w:r>
    </w:p>
    <w:bookmarkEnd w:id="26"/>
    <w:bookmarkStart w:id="27" w:name="technological-integration-gaps"/>
    <w:p>
      <w:pPr>
        <w:pStyle w:val="Heading3"/>
      </w:pPr>
      <w:r>
        <w:t xml:space="preserve">2.3 Technological Integration Gaps</w:t>
      </w:r>
    </w:p>
    <w:p>
      <w:pPr>
        <w:pStyle w:val="FirstParagraph"/>
      </w:pPr>
      <w:r>
        <w:br/>
      </w:r>
    </w:p>
    <w:p>
      <w:pPr>
        <w:pStyle w:val="BodyText"/>
      </w:pPr>
      <w:r>
        <w:t xml:space="preserve">Adoption machine learning algorithms artificial intelligence driven solutions still relatively nascent stage domestically hence reliance manual processes persists resulting inefficiencies delays errors compromising overall efficiency effectiveness outcomes achieved thereby impacting reputation credibility sector globally recognized benchmarks excellence established elsewhere.</w:t>
      </w:r>
    </w:p>
    <w:p>
      <w:pPr>
        <w:pStyle w:val="BodyText"/>
      </w:pPr>
      <w:r>
        <w:br/>
      </w:r>
    </w:p>
    <w:bookmarkEnd w:id="27"/>
    <w:bookmarkEnd w:id="28"/>
    <w:bookmarkStart w:id="32" w:name="opportunities-for-growth-development"/>
    <w:p>
      <w:pPr>
        <w:pStyle w:val="Heading2"/>
      </w:pPr>
      <w:r>
        <w:t xml:space="preserve">4. Opportunities for Growth &amp; Development</w:t>
      </w:r>
    </w:p>
    <w:bookmarkStart w:id="29" w:name="enhancing-educational-curricula"/>
    <w:p>
      <w:pPr>
        <w:pStyle w:val="Heading3"/>
      </w:pPr>
      <w:r>
        <w:t xml:space="preserve">4.1 Enhancing Educational Curricula</w:t>
      </w:r>
    </w:p>
    <w:p>
      <w:pPr>
        <w:pStyle w:val="FirstParagraph"/>
      </w:pPr>
      <w:r>
        <w:br/>
      </w:r>
    </w:p>
    <w:p>
      <w:pPr>
        <w:pStyle w:val="BodyText"/>
      </w:pPr>
      <w:r>
        <w:t xml:space="preserve">Government authorities educational bodies could collaborate develop comprehensive programs incorporating practical hands-on training modules focusing real-world scenarios encountered professionals working within Tehran context thereby equipping future generations with relevant skills competencies needed thrive competitive market place.</w:t>
      </w:r>
    </w:p>
    <w:p>
      <w:pPr>
        <w:pStyle w:val="BodyText"/>
      </w:pPr>
      <w:r>
        <w:br/>
      </w:r>
    </w:p>
    <w:bookmarkEnd w:id="29"/>
    <w:bookmarkStart w:id="30" w:name="promoting-public-awareness-campaigns"/>
    <w:p>
      <w:pPr>
        <w:pStyle w:val="Heading3"/>
      </w:pPr>
      <w:r>
        <w:t xml:space="preserve">4.2 Promoting Public Awareness Campaigns</w:t>
      </w:r>
    </w:p>
    <w:p>
      <w:pPr>
        <w:pStyle w:val="FirstParagraph"/>
      </w:pPr>
      <w:r>
        <w:br/>
      </w:r>
    </w:p>
    <w:p>
      <w:pPr>
        <w:pStyle w:val="BodyText"/>
      </w:pPr>
      <w:r>
        <w:t xml:space="preserve">Educating general populace importance investing professional linguistic assistance foster appreciation value added benefits derived utilizing certified experts versus relying amateurish attempts yielding subpar results detrimental reputations businesses individuals alike seeking expand horizons beyond domestic boundaries.</w:t>
      </w:r>
    </w:p>
    <w:p>
      <w:pPr>
        <w:pStyle w:val="BodyText"/>
      </w:pPr>
      <w:r>
        <w:br/>
      </w:r>
    </w:p>
    <w:bookmarkEnd w:id="30"/>
    <w:bookmarkStart w:id="31" w:name="leveraging-technology-innovations"/>
    <w:p>
      <w:pPr>
        <w:pStyle w:val="Heading3"/>
      </w:pPr>
      <w:r>
        <w:t xml:space="preserve">4.3 Leveraging Technology Innovations</w:t>
      </w:r>
    </w:p>
    <w:p>
      <w:pPr>
        <w:pStyle w:val="FirstParagraph"/>
      </w:pPr>
      <w:r>
        <w:br/>
      </w:r>
    </w:p>
    <w:p>
      <w:pPr>
        <w:pStyle w:val="BodyText"/>
      </w:pPr>
      <w:r>
        <w:t xml:space="preserve">Encouraging adoption cutting-edge tools facilitating seamless integration human-machine collaboration enables practitioners augment capabilities increase productivity levels maintaining ethical guidelines safeguarding integrity authenticity source materials throughout entire workflow lifecycle—from initial conceptualization final delivery phase.</w:t>
      </w:r>
    </w:p>
    <w:p>
      <w:pPr>
        <w:pStyle w:val="BodyText"/>
      </w:pPr>
      <w:r>
        <w:br/>
      </w:r>
    </w:p>
    <w:bookmarkEnd w:id="31"/>
    <w:bookmarkEnd w:id="32"/>
    <w:bookmarkStart w:id="33" w:name="conclusion"/>
    <w:p>
      <w:pPr>
        <w:pStyle w:val="Heading2"/>
      </w:pPr>
      <w:r>
        <w:t xml:space="preserve">5. Conclusion</w:t>
      </w:r>
    </w:p>
    <w:p>
      <w:pPr>
        <w:pStyle w:val="FirstParagraph"/>
      </w:pPr>
      <w:r>
        <w:t xml:space="preserve">In conclusion achieving sustained progress towards realizing Tehran’s full potential hinges heavily upon recognizing prioritizing development robust infrastructure supporting translator and interpreter communities operating within Iran framework addressing existing hurdles proactively fostering environment conducive innovation excellence ultimately positioning nation favorably positioned compete globally舞台上舞台中心.</w:t>
      </w:r>
    </w:p>
    <w:p>
      <w:pPr>
        <w:pStyle w:val="BodyText"/>
      </w:pPr>
      <w:r>
        <w:br/>
      </w:r>
    </w:p>
    <w:p>
      <w:pPr>
        <w:pStyle w:val="BodyText"/>
      </w:pPr>
      <w:r>
        <w:t xml:space="preserve">By implementing recommended initiatives outlined herein stakeholders involved—including policymakers educators practitioners themselves—can collectively contribute towards building stronger foundations ensuring long-term success prosperityforall parties engaged collaborative endeavors spanning diverse domains benefiting entire society regardless geographical origins linguistic backgrounds whatsoever.</w:t>
      </w:r>
    </w:p>
    <w:p>
      <w:pPr>
        <w:pStyle w:val="BodyText"/>
      </w:pPr>
      <w:r>
        <w:br/>
      </w:r>
    </w:p>
    <w:bookmarkEnd w:id="33"/>
    <w:bookmarkStart w:id="34" w:name="references"/>
    <w:p>
      <w:pPr>
        <w:pStyle w:val="Heading2"/>
      </w:pPr>
      <w:r>
        <w:t xml:space="preserve">6. References</w:t>
      </w:r>
    </w:p>
    <w:p>
      <w:pPr>
        <w:numPr>
          <w:ilvl w:val="0"/>
          <w:numId w:val="1001"/>
        </w:numPr>
        <w:pStyle w:val="Compact"/>
      </w:pPr>
      <w:r>
        <w:t xml:space="preserve">National Institute of Standards and Technology (NIST). “Guidelines for Machine Translation Evaluation.” 2018.</w:t>
      </w:r>
    </w:p>
    <w:p>
      <w:pPr>
        <w:numPr>
          <w:ilvl w:val="0"/>
          <w:numId w:val="1001"/>
        </w:numPr>
        <w:pStyle w:val="Compact"/>
      </w:pPr>
      <w:r>
        <w:t xml:space="preserve">Iranian Ministry of Foreign Affairs Annual Report on Diplomatic Activities 2023.</w:t>
      </w:r>
    </w:p>
    <w:p>
      <w:pPr>
        <w:numPr>
          <w:ilvl w:val="0"/>
          <w:numId w:val="1001"/>
        </w:numPr>
        <w:pStyle w:val="Compact"/>
      </w:pPr>
      <w:r>
        <w:t xml:space="preserve">Tehran Chamber of Commerce Industry Mine &amp; Agriculture Statistics Yearbook 2024 Edition.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Translator and Interpreter Services in Iran, Tehran</dc:title>
  <dc:creator/>
  <dc:language>en</dc:language>
  <cp:keywords/>
  <dcterms:created xsi:type="dcterms:W3CDTF">2026-07-29T09:46:47Z</dcterms:created>
  <dcterms:modified xsi:type="dcterms:W3CDTF">2026-07-29T09:46:47Z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