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Indonesia</w:t>
      </w:r>
      <w:r>
        <w:t xml:space="preserve"> </w:t>
      </w:r>
      <w:r>
        <w:t xml:space="preserve">Jakarta</w:t>
      </w:r>
    </w:p>
    <w:bookmarkStart w:id="26" w:name="X6cfcee7914c203872ffa4812d4486b85e31efb1"/>
    <w:p>
      <w:pPr>
        <w:pStyle w:val="Heading1"/>
      </w:pPr>
      <w:r>
        <w:t xml:space="preserve">The Evolving Role of the University Lecturer in Indonesia Jakarta: Bridging Tradition, Technology, and Global Competitiveness</w:t>
      </w:r>
    </w:p>
    <w:p>
      <w:pPr>
        <w:pStyle w:val="FirstParagraph"/>
      </w:pPr>
      <w:r>
        <w:rPr>
          <w:bCs/>
          <w:b/>
        </w:rPr>
        <w:t xml:space="preserve">Abstract:</w:t>
      </w:r>
      <w:r>
        <w:br/>
      </w:r>
      <w:r>
        <w:t xml:space="preserve">This research paper examines the multifaceted role of the University Lecturer within the dynamic academic landscape of Indonesia Jakarta. As a rapidly urbanizing hub and the educational center of archipelago nation, Indonesia Jakarta presents unique challenges and opportunities for higher education professionals. This document analyzes how University Lecturers are adapting to digital transformation, industry demands, and cultural expectations while maintaining pedagogical excellence. The study highlights that the modern University Lecturer in Indonesia Jakarta must function not only as a knowledge disseminator but also as a mentor, tech-integrator, and community bridge-builder to ensure graduates are competitive on both domestic and global stages.</w:t>
      </w:r>
    </w:p>
    <w:bookmarkStart w:id="20" w:name="introduction"/>
    <w:p>
      <w:pPr>
        <w:pStyle w:val="Heading2"/>
      </w:pPr>
      <w:r>
        <w:t xml:space="preserve">1. Introduction</w:t>
      </w:r>
    </w:p>
    <w:p>
      <w:pPr>
        <w:pStyle w:val="FirstParagraph"/>
      </w:pPr>
      <w:r>
        <w:t xml:space="preserve">In the contemporary era of higher education, the definition of academic excellence is undergoing profound transformation. Nowhere is this shift more palpable than in Indonesia Jakarta, the capital city and economic heart of Indonesia. As a metropolis boasting over ten million residents and a dense concentration of prestigious institutions including Universitas Indonesia, Atma Jaya Catholic University, and various private conglomerates like Trisakti or Binus University the role of the</w:t>
      </w:r>
      <w:r>
        <w:t xml:space="preserve"> </w:t>
      </w:r>
      <w:r>
        <w:rPr>
          <w:bCs/>
          <w:b/>
        </w:rPr>
        <w:t xml:space="preserve">University Lecturer</w:t>
      </w:r>
      <w:r>
        <w:t xml:space="preserve"> </w:t>
      </w:r>
      <w:r>
        <w:t xml:space="preserve">has expanded beyond traditional classroom instruction.</w:t>
      </w:r>
      <w:r>
        <w:t xml:space="preserve"> </w:t>
      </w:r>
      <w:r>
        <w:t xml:space="preserve">This paper argues that the efficacy of higher education in this region is directly correlated to the adaptability and multifunctional capacity of its academic staff. The</w:t>
      </w:r>
      <w:r>
        <w:t xml:space="preserve"> </w:t>
      </w:r>
      <w:r>
        <w:rPr>
          <w:bCs/>
          <w:b/>
        </w:rPr>
        <w:t xml:space="preserve">Indonesia Jakarta</w:t>
      </w:r>
      <w:r>
        <w:t xml:space="preserve"> </w:t>
      </w:r>
      <w:r>
        <w:t xml:space="preserve">context demands a lecturer who is culturally attuned yet globally minded, technologically proficient, and deeply engaged with local socio-economic realities. Understanding these dynamics is crucial for policymakers, university administrators, and educators themselves as they navigate the post-pandemic educational recovery and the subsequent digital revolution.</w:t>
      </w:r>
    </w:p>
    <w:bookmarkEnd w:id="20"/>
    <w:bookmarkStart w:id="21" w:name="Xae36bcbf82827ac2b796114c60b6e5edf8e8c12"/>
    <w:p>
      <w:pPr>
        <w:pStyle w:val="Heading2"/>
      </w:pPr>
      <w:r>
        <w:t xml:space="preserve">2. The Academic Landscape of Indonesia Jakarta</w:t>
      </w:r>
    </w:p>
    <w:p>
      <w:pPr>
        <w:pStyle w:val="FirstParagraph"/>
      </w:pPr>
      <w:r>
        <w:t xml:space="preserve">To understand the position of the</w:t>
      </w:r>
      <w:r>
        <w:t xml:space="preserve"> </w:t>
      </w:r>
      <w:r>
        <w:rPr>
          <w:bCs/>
          <w:b/>
        </w:rPr>
        <w:t xml:space="preserve">University Lecturer</w:t>
      </w:r>
      <w:r>
        <w:t xml:space="preserve">, one must first appreciate the unique ecosystem of</w:t>
      </w:r>
      <w:r>
        <w:t xml:space="preserve"> </w:t>
      </w:r>
      <w:r>
        <w:rPr>
          <w:bCs/>
          <w:b/>
        </w:rPr>
        <w:t xml:space="preserve">Indonesia Jakarta</w:t>
      </w:r>
      <w:r>
        <w:t xml:space="preserve">. Unlike rural areas where access to higher education may be limited, Jakarta is saturated with options. This high competition forces universities to differentiate themselves through quality assurance, international accreditation (such as AACSB or ABET), and graduate employability.</w:t>
      </w:r>
      <w:r>
        <w:t xml:space="preserve"> </w:t>
      </w:r>
      <w:r>
        <w:t xml:space="preserve">Consequently, the pressure on the</w:t>
      </w:r>
      <w:r>
        <w:t xml:space="preserve"> </w:t>
      </w:r>
      <w:r>
        <w:rPr>
          <w:bCs/>
          <w:b/>
        </w:rPr>
        <w:t xml:space="preserve">University Lecturer</w:t>
      </w:r>
      <w:r>
        <w:t xml:space="preserve"> </w:t>
      </w:r>
      <w:r>
        <w:t xml:space="preserve">has intensified. They are no longer judged solely by their publication records but also by their ability to produce job-ready graduates who can compete in a gig economy and a rapidly digitizing workforce. The dense urban environment of Jakarta provides access to diverse industries, internships, and networking opportunities that rural lecturers may lack, requiring the academic staff to actively cultivate industry partnerships.</w:t>
      </w:r>
    </w:p>
    <w:bookmarkEnd w:id="21"/>
    <w:bookmarkStart w:id="22" w:name="Xb7a9e7143b99e067b0e78d24c01cddc720be25f"/>
    <w:p>
      <w:pPr>
        <w:pStyle w:val="Heading2"/>
      </w:pPr>
      <w:r>
        <w:t xml:space="preserve">3. Digital Transformation and Pedagogical Innovation</w:t>
      </w:r>
    </w:p>
    <w:p>
      <w:pPr>
        <w:pStyle w:val="FirstParagraph"/>
      </w:pPr>
      <w:r>
        <w:t xml:space="preserve">One of the most significant challenges faced by the</w:t>
      </w:r>
      <w:r>
        <w:t xml:space="preserve"> </w:t>
      </w:r>
      <w:r>
        <w:rPr>
          <w:bCs/>
          <w:b/>
        </w:rPr>
        <w:t xml:space="preserve">University Lecturer</w:t>
      </w:r>
      <w:r>
        <w:t xml:space="preserve"> </w:t>
      </w:r>
      <w:r>
        <w:t xml:space="preserve">in recent years has been the rapid integration of digital technologies into learning processes. In</w:t>
      </w:r>
      <w:r>
        <w:t xml:space="preserve"> </w:t>
      </w:r>
      <w:r>
        <w:rPr>
          <w:bCs/>
          <w:b/>
        </w:rPr>
        <w:t xml:space="preserve">Indonesia Jakarta</w:t>
      </w:r>
      <w:r>
        <w:t xml:space="preserve">, while infrastructure is generally robust compared to other parts of Southeast Asia, disparities in student access to reliable technology persist. Therefore, the modern lecturer must be a hybrid educator capable of delivering effective content through Learning Management Systems (LMS), virtual reality simulations, and asynchronous online modules while maintaining high levels of student engagement.</w:t>
      </w:r>
      <w:r>
        <w:t xml:space="preserve"> </w:t>
      </w:r>
      <w:r>
        <w:t xml:space="preserve">Research indicates that University Lecturers who adopt active learning strategies combined with digital tools see higher retention rates among students in Jakarta’s competitive academic environment. However, this transition requires continuous professional development. Universities in</w:t>
      </w:r>
      <w:r>
        <w:t xml:space="preserve"> </w:t>
      </w:r>
      <w:r>
        <w:rPr>
          <w:bCs/>
          <w:b/>
        </w:rPr>
        <w:t xml:space="preserve">Indonesia Jakarta</w:t>
      </w:r>
      <w:r>
        <w:t xml:space="preserve"> </w:t>
      </w:r>
      <w:r>
        <w:t xml:space="preserve">are increasingly investing in training programs to help faculty members master these tools, recognizing that technological competence is now a core competency of the academic profession.</w:t>
      </w:r>
    </w:p>
    <w:bookmarkEnd w:id="22"/>
    <w:bookmarkStart w:id="23" w:name="X5199e1f1328d0eac9d2e6a2b6409a377be58f42"/>
    <w:p>
      <w:pPr>
        <w:pStyle w:val="Heading2"/>
      </w:pPr>
      <w:r>
        <w:t xml:space="preserve">4. Cultural Responsiveness and Local Contextualization</w:t>
      </w:r>
    </w:p>
    <w:p>
      <w:pPr>
        <w:pStyle w:val="FirstParagraph"/>
      </w:pPr>
      <w:r>
        <w:t xml:space="preserve">While globalization pushes for standardized curricula, the identity of the</w:t>
      </w:r>
      <w:r>
        <w:t xml:space="preserve"> </w:t>
      </w:r>
      <w:r>
        <w:rPr>
          <w:bCs/>
          <w:b/>
        </w:rPr>
        <w:t xml:space="preserve">University Lecturer</w:t>
      </w:r>
      <w:r>
        <w:t xml:space="preserve"> </w:t>
      </w:r>
      <w:r>
        <w:t xml:space="preserve">remains deeply rooted in local culture. In</w:t>
      </w:r>
      <w:r>
        <w:t xml:space="preserve"> </w:t>
      </w:r>
      <w:r>
        <w:rPr>
          <w:bCs/>
          <w:b/>
        </w:rPr>
        <w:t xml:space="preserve">Indonesia Jakarta</w:t>
      </w:r>
      <w:r>
        <w:t xml:space="preserve">, a city that is a melting pot of diverse ethnicities, religions, and socio-economic classes, cultural sensitivity is paramount. A successful lecturer must navigate these differences to create an inclusive classroom environment.</w:t>
      </w:r>
      <w:r>
        <w:t xml:space="preserve"> </w:t>
      </w:r>
      <w:r>
        <w:t xml:space="preserve">Furthermore, the content taught by the</w:t>
      </w:r>
      <w:r>
        <w:t xml:space="preserve"> </w:t>
      </w:r>
      <w:r>
        <w:rPr>
          <w:bCs/>
          <w:b/>
        </w:rPr>
        <w:t xml:space="preserve">University Lecturer</w:t>
      </w:r>
      <w:r>
        <w:t xml:space="preserve"> </w:t>
      </w:r>
      <w:r>
        <w:t xml:space="preserve">must be relevant to the local context. For instance, in fields such as architecture or urban planning in</w:t>
      </w:r>
      <w:r>
        <w:t xml:space="preserve"> </w:t>
      </w:r>
      <w:r>
        <w:rPr>
          <w:bCs/>
          <w:b/>
        </w:rPr>
        <w:t xml:space="preserve">Indonesia Jakarta</w:t>
      </w:r>
      <w:r>
        <w:t xml:space="preserve">, courses cannot rely solely on Western models; they must address specific issues such as traffic congestion, flooding mitigation, and sustainable housing solutions unique to the Jakarta basin. This contextualization ensures that graduates can contribute meaningfully to national development goals and local community welfare.</w:t>
      </w:r>
    </w:p>
    <w:bookmarkEnd w:id="23"/>
    <w:bookmarkStart w:id="24" w:name="the-shift-towards-industry-integration"/>
    <w:p>
      <w:pPr>
        <w:pStyle w:val="Heading2"/>
      </w:pPr>
      <w:r>
        <w:t xml:space="preserve">5. The Shift Towards Industry Integration</w:t>
      </w:r>
    </w:p>
    <w:p>
      <w:pPr>
        <w:pStyle w:val="FirstParagraph"/>
      </w:pPr>
      <w:r>
        <w:t xml:space="preserve">Perhaps the most distinct characteristic of the</w:t>
      </w:r>
      <w:r>
        <w:t xml:space="preserve"> </w:t>
      </w:r>
      <w:r>
        <w:rPr>
          <w:bCs/>
          <w:b/>
        </w:rPr>
        <w:t xml:space="preserve">University Lecturer</w:t>
      </w:r>
      <w:r>
        <w:t xml:space="preserve"> </w:t>
      </w:r>
      <w:r>
        <w:t xml:space="preserve">in</w:t>
      </w:r>
      <w:r>
        <w:t xml:space="preserve"> </w:t>
      </w:r>
      <w:r>
        <w:rPr>
          <w:bCs/>
          <w:b/>
        </w:rPr>
        <w:t xml:space="preserve">Indonesia Jakarta</w:t>
      </w:r>
      <w:r>
        <w:t xml:space="preserve">6. Challenges and Future Directions</w:t>
      </w:r>
    </w:p>
    <w:p>
      <w:pPr>
        <w:pStyle w:val="BodyText"/>
      </w:pPr>
      <w:r>
        <w:t xml:space="preserve">Despite these advancements, University Lecturers in</w:t>
      </w:r>
      <w:r>
        <w:t xml:space="preserve"> </w:t>
      </w:r>
      <w:r>
        <w:rPr>
          <w:bCs/>
          <w:b/>
        </w:rPr>
        <w:t xml:space="preserve">Indonesia Jakarta</w:t>
      </w:r>
      <w:r>
        <w:t xml:space="preserve"> </w:t>
      </w:r>
      <w:r>
        <w:t xml:space="preserve">face significant hurdles including heavy administrative burdens, limited research funding compared to global peers, and the stress of balancing teaching loads with research expectations. Furthermore, the mental well-being of academics remains an under-addressed issue amidst high-pressure environments.</w:t>
      </w:r>
      <w:r>
        <w:t xml:space="preserve"> </w:t>
      </w:r>
      <w:r>
        <w:t xml:space="preserve">Future research should focus on developing support systems for these educators. Institutions in</w:t>
      </w:r>
      <w:r>
        <w:t xml:space="preserve"> </w:t>
      </w:r>
      <w:r>
        <w:rPr>
          <w:bCs/>
          <w:b/>
        </w:rPr>
        <w:t xml:space="preserve">Indonesia Jakarta</w:t>
      </w:r>
      <w:r>
        <w:t xml:space="preserve"> </w:t>
      </w:r>
      <w:r>
        <w:t xml:space="preserve">must prioritize lecturer well-being and provide clearer pathways for career advancement that value teaching excellence as much as research output. Additionally, fostering international collaborations can help elevate the global visibility of local faculty, enhancing their professional growth and the reputation of Indonesian higher education on the world stage.</w:t>
      </w:r>
    </w:p>
    <w:bookmarkEnd w:id="24"/>
    <w:bookmarkStart w:id="25" w:name="conclusion"/>
    <w:p>
      <w:pPr>
        <w:pStyle w:val="Heading2"/>
      </w:pPr>
      <w:r>
        <w:t xml:space="preserve">7. Conclusion</w:t>
      </w:r>
    </w:p>
    <w:p>
      <w:pPr>
        <w:pStyle w:val="FirstParagraph"/>
      </w:pPr>
      <w:r>
        <w:t xml:space="preserve">In conclusion, the role of the</w:t>
      </w:r>
      <w:r>
        <w:t xml:space="preserve"> </w:t>
      </w:r>
      <w:r>
        <w:rPr>
          <w:bCs/>
          <w:b/>
        </w:rPr>
        <w:t xml:space="preserve">University Lecturer</w:t>
      </w:r>
      <w:r>
        <w:t xml:space="preserve"> </w:t>
      </w:r>
      <w:r>
        <w:t xml:space="preserve">in</w:t>
      </w:r>
      <w:r>
        <w:t xml:space="preserve"> </w:t>
      </w:r>
      <w:r>
        <w:rPr>
          <w:bCs/>
          <w:b/>
        </w:rPr>
        <w:t xml:space="preserve">Indonesia Jakarta</w:t>
      </w:r>
      <w:r>
        <w:t xml:space="preserve">Indonesia Jakarta can ensure that its higher education sector remains robust innovative and capable of meeting the challenges of the 21st century. The future of academic excellence in this vibrant metropolis depends on recognizing and nurturing the diverse contributions these educators make to society knowledge creation and student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Indonesia Jakarta</dc:title>
  <dc:creator/>
  <dc:language>en</dc:language>
  <cp:keywords/>
  <dcterms:created xsi:type="dcterms:W3CDTF">2026-07-29T20:35:16Z</dcterms:created>
  <dcterms:modified xsi:type="dcterms:W3CDTF">2026-07-29T20:35:16Z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