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3f5bef4ee05bdbbd99a1c76ddfccfae2be06424"/>
    <w:p>
      <w:pPr>
        <w:pStyle w:val="Heading1"/>
      </w:pPr>
      <w:r>
        <w:t xml:space="preserve">The Evolving Role of the University Lecturer in New Zealand Wellington</w:t>
      </w:r>
    </w:p>
    <w:p>
      <w:pPr>
        <w:pStyle w:val="FirstParagraph"/>
      </w:pPr>
      <w:r>
        <w:rPr>
          <w:bCs/>
          <w:b/>
        </w:rPr>
        <w:t xml:space="preserve">A Research Paper on Academic Practice, Cultural Integration, and Pedagogical Innovation in the Capital’s Higher Education Sector.</w:t>
      </w:r>
    </w:p>
    <w:p>
      <w:pPr>
        <w:pStyle w:val="BodyText"/>
      </w:pPr>
      <w:r>
        <w:rPr>
          <w:bCs/>
          <w:b/>
        </w:rPr>
        <w:t xml:space="preserve">Abstract:</w:t>
      </w:r>
      <w:r>
        <w:t xml:space="preserve">This research paper examines the multifaceted role of the university lecturer within the unique academic and cultural landscape of New Zealand Wellington. It explores how local lecturers navigate Te Tiriti o Waitangi obligations, integrate indigenous knowledge systems, and respond to the pedagogical shifts driven by digital transformation. The study highlights that modern Wellington-based academic staff are not merely content deliverers but critical facilitators of intercultural competence and civic engagement.</w:t>
      </w:r>
    </w:p>
    <w:bookmarkStart w:id="20" w:name="introduction"/>
    <w:p>
      <w:pPr>
        <w:pStyle w:val="Heading2"/>
      </w:pPr>
      <w:r>
        <w:t xml:space="preserve">1. Introduction</w:t>
      </w:r>
    </w:p>
    <w:p>
      <w:pPr>
        <w:pStyle w:val="FirstParagraph"/>
      </w:pPr>
      <w:r>
        <w:t xml:space="preserve">The landscape of higher education in New Zealand has undergone significant transformation over the last two decades, with the role of the</w:t>
      </w:r>
      <w:r>
        <w:t xml:space="preserve"> </w:t>
      </w:r>
      <w:r>
        <w:rPr>
          <w:bCs/>
          <w:b/>
        </w:rPr>
        <w:t xml:space="preserve">university lecturer</w:t>
      </w:r>
      <w:r>
        <w:t xml:space="preserve">[1]</w:t>
      </w:r>
      <w:r>
        <w:t xml:space="preserve">. This shift is particularly pronounced in Wellington, New Zealand’s capital city and a hub for tertiary institutions such as Victoria University of Wellington (Te Herenga Waka). As a</w:t>
      </w:r>
      <w:r>
        <w:t xml:space="preserve"> </w:t>
      </w:r>
      <w:r>
        <w:rPr>
          <w:bCs/>
          <w:b/>
        </w:rPr>
        <w:t xml:space="preserve">New Zealand Wellington</w:t>
      </w:r>
      <w:r>
        <w:t xml:space="preserve">[2]</w:t>
      </w:r>
      <w:r>
        <w:t xml:space="preserve">, the academic environment is characterized by a distinct blend of metropolitan professionalism and deep-rooted commitment to Māori values. The</w:t>
      </w:r>
      <w:r>
        <w:t xml:space="preserve"> </w:t>
      </w:r>
      <w:r>
        <w:rPr>
          <w:bCs/>
          <w:b/>
        </w:rPr>
        <w:t xml:space="preserve">university lecturer</w:t>
      </w:r>
      <w:r>
        <w:t xml:space="preserve"> </w:t>
      </w:r>
      <w:r>
        <w:t xml:space="preserve">in this context serves as a bridge between global academic standards and local cultural imperatives.</w:t>
      </w:r>
    </w:p>
    <w:p>
      <w:pPr>
        <w:pStyle w:val="BodyText"/>
      </w:pPr>
      <w:r>
        <w:t xml:space="preserve">This paper argues that the contemporary university lecturer in Wellington must possess a triad of competencies: pedagogical excellence, intercultural fluency, and research agility. By analyzing current trends, we can understand how these professionals contribute to both national educational goals and international academic standing.</w:t>
      </w:r>
    </w:p>
    <w:bookmarkEnd w:id="20"/>
    <w:bookmarkStart w:id="22" w:name="Xccf20da9dfac95c06401fbef18caae6aff3f0f5"/>
    <w:p>
      <w:pPr>
        <w:pStyle w:val="Heading2"/>
      </w:pPr>
      <w:r>
        <w:t xml:space="preserve">2. Cultural Context: Te Tiriti o Waitangi and Academic Responsibility</w:t>
      </w:r>
    </w:p>
    <w:p>
      <w:pPr>
        <w:pStyle w:val="FirstParagraph"/>
      </w:pPr>
      <w:r>
        <w:t xml:space="preserve">In New Zealand Wellington, the principle of partnership enshrined in Te Tiriti o Waitangi is not merely a legal framework but a lived reality within university campuses. University lecturers are increasingly required to embed Māori perspectives (Mātauranga Māori) into their curricula across all disciplines, from engineering and science to arts and law.</w:t>
      </w:r>
    </w:p>
    <w:p>
      <w:pPr>
        <w:pStyle w:val="BodyText"/>
      </w:pPr>
      <w:r>
        <w:t xml:space="preserve">For the</w:t>
      </w:r>
      <w:r>
        <w:t xml:space="preserve"> </w:t>
      </w:r>
      <w:r>
        <w:rPr>
          <w:bCs/>
          <w:b/>
        </w:rPr>
        <w:t xml:space="preserve">university lecturer</w:t>
      </w:r>
      <w:r>
        <w:t xml:space="preserve">, this means moving beyond tokenistic inclusion of indigenous content. It requires a fundamental rethinking of teaching methodologies to ensure that Pākehā (non-Māori) and international students alike gain an understanding of Aotearoa’s dual heritage. In Wellington, this is facilitated by strong institutional support structures, yet it places a significant professional development burden on individual academics.</w:t>
      </w:r>
    </w:p>
    <w:bookmarkStart w:id="21" w:name="X25424ff1e2d302c69872822747e925fe74efe53"/>
    <w:p>
      <w:pPr>
        <w:pStyle w:val="Heading3"/>
      </w:pPr>
      <w:r>
        <w:t xml:space="preserve">2.1 The Challenge of Decolonizing the Curriculum</w:t>
      </w:r>
    </w:p>
    <w:p>
      <w:pPr>
        <w:pStyle w:val="FirstParagraph"/>
      </w:pPr>
      <w:r>
        <w:t xml:space="preserve">Lecturers in Wellington are actively engaged in decolonizing their syllabi. This involves critically examining reading lists, assessment methods, and classroom dynamics to ensure they do not perpetuate colonial narratives. For instance, a lecturer in environmental studies may need to integrate traditional Māori ecological knowledge alongside Western scientific data. This dual-knowledge approach enhances the richness of learning but demands that the</w:t>
      </w:r>
      <w:r>
        <w:t xml:space="preserve"> </w:t>
      </w:r>
      <w:r>
        <w:rPr>
          <w:bCs/>
          <w:b/>
        </w:rPr>
        <w:t xml:space="preserve">university lecturer</w:t>
      </w:r>
      <w:r>
        <w:t xml:space="preserve"> </w:t>
      </w:r>
      <w:r>
        <w:t xml:space="preserve">be humble enough to learn from indigenous elders and knowledge holders.</w:t>
      </w:r>
    </w:p>
    <w:bookmarkEnd w:id="21"/>
    <w:bookmarkEnd w:id="22"/>
    <w:bookmarkStart w:id="25" w:name="pedagogical-innovation-in-a-digital-age"/>
    <w:p>
      <w:pPr>
        <w:pStyle w:val="Heading2"/>
      </w:pPr>
      <w:r>
        <w:t xml:space="preserve">3. Pedagogical Innovation in a Digital Age</w:t>
      </w:r>
    </w:p>
    <w:p>
      <w:pPr>
        <w:pStyle w:val="FirstParagraph"/>
      </w:pPr>
      <w:r>
        <w:t xml:space="preserve">The city of</w:t>
      </w:r>
      <w:r>
        <w:t xml:space="preserve"> </w:t>
      </w:r>
      <w:r>
        <w:rPr>
          <w:bCs/>
          <w:b/>
        </w:rPr>
        <w:t xml:space="preserve">New Zealand Wellington</w:t>
      </w:r>
      <w:r>
        <w:t xml:space="preserve">[3]</w:t>
      </w:r>
      <w:r>
        <w:t xml:space="preserve">, often referred to as "Wellywood" and a tech hub, influences the pedagogical approaches of its academic institutions. The</w:t>
      </w:r>
      <w:r>
        <w:t xml:space="preserve"> </w:t>
      </w:r>
      <w:r>
        <w:rPr>
          <w:bCs/>
          <w:b/>
        </w:rPr>
        <w:t xml:space="preserve">university lecturer</w:t>
      </w:r>
      <w:r>
        <w:t xml:space="preserve"> </w:t>
      </w:r>
      <w:r>
        <w:t xml:space="preserve">is no longer the sole source of knowledge; rather, they act as a facilitator of learning in an increasingly digital and hybrid environment.</w:t>
      </w:r>
    </w:p>
    <w:bookmarkStart w:id="23" w:name="blended-learning-environments"/>
    <w:p>
      <w:pPr>
        <w:pStyle w:val="Heading3"/>
      </w:pPr>
      <w:r>
        <w:t xml:space="preserve">3.1 Blended Learning Environments</w:t>
      </w:r>
    </w:p>
    <w:p>
      <w:pPr>
        <w:pStyle w:val="FirstParagraph"/>
      </w:pPr>
      <w:r>
        <w:t xml:space="preserve">The post-pandemic era has solidified the need for blended learning capabilities. University lecturers in Wellington must be proficient in using Learning Management Systems (LMS) such as Blackboard or Canvas, but more importantly, they must understand how to foster engagement through these platforms. This includes creating asynchronous discussion forums that respect diverse time zones for international students and synchronous sessions that encourage active participation.</w:t>
      </w:r>
    </w:p>
    <w:bookmarkEnd w:id="23"/>
    <w:bookmarkStart w:id="24" w:name="assessment-reform"/>
    <w:p>
      <w:pPr>
        <w:pStyle w:val="Heading3"/>
      </w:pPr>
      <w:r>
        <w:t xml:space="preserve">3.2 Assessment Reform</w:t>
      </w:r>
    </w:p>
    <w:p>
      <w:pPr>
        <w:pStyle w:val="FirstParagraph"/>
      </w:pPr>
      <w:r>
        <w:t xml:space="preserve">In response to the rise of generative AI and changing student demographics,</w:t>
      </w:r>
      <w:r>
        <w:t xml:space="preserve"> </w:t>
      </w:r>
      <w:r>
        <w:rPr>
          <w:bCs/>
          <w:b/>
        </w:rPr>
        <w:t xml:space="preserve">university lecturers</w:t>
      </w:r>
      <w:r>
        <w:t xml:space="preserve">[4]</w:t>
      </w:r>
      <w:r>
        <w:t xml:space="preserve"> </w:t>
      </w:r>
      <w:r>
        <w:t xml:space="preserve">in Wellington are rethinking assessment strategies. There is a shift away from traditional essays toward authentic assessments that mirror real-world tasks. This aligns with the vocational expectations of students and the practical needs of New Zealand’s workforce.</w:t>
      </w:r>
    </w:p>
    <w:bookmarkEnd w:id="24"/>
    <w:bookmarkEnd w:id="25"/>
    <w:bookmarkStart w:id="28" w:name="research-and-community-engagement"/>
    <w:p>
      <w:pPr>
        <w:pStyle w:val="Heading2"/>
      </w:pPr>
      <w:r>
        <w:t xml:space="preserve">4. Research and Community Engagement</w:t>
      </w:r>
    </w:p>
    <w:p>
      <w:pPr>
        <w:pStyle w:val="FirstParagraph"/>
      </w:pPr>
      <w:r>
        <w:t xml:space="preserve">In New Zealand’s public university system, research is a core mandate. However, the nature of this research in Wellington is heavily influenced by its geographic and social context.</w:t>
      </w:r>
      <w:r>
        <w:t xml:space="preserve"> </w:t>
      </w:r>
      <w:r>
        <w:rPr>
          <w:bCs/>
          <w:b/>
        </w:rPr>
        <w:t xml:space="preserve">New Zealand Wellington</w:t>
      </w:r>
      <w:r>
        <w:t xml:space="preserve">[5]</w:t>
      </w:r>
      <w:r>
        <w:t xml:space="preserve"> </w:t>
      </w:r>
      <w:r>
        <w:t xml:space="preserve">is home to numerous government ministries, diplomatic corps, and NGOs, providing unique opportunities for applied research.</w:t>
      </w:r>
    </w:p>
    <w:bookmarkStart w:id="26" w:name="the-lecturer-as-public-intellectual"/>
    <w:p>
      <w:pPr>
        <w:pStyle w:val="Heading3"/>
      </w:pPr>
      <w:r>
        <w:t xml:space="preserve">4.1 The Lecturer as Public Intellectual</w:t>
      </w:r>
    </w:p>
    <w:p>
      <w:pPr>
        <w:pStyle w:val="FirstParagraph"/>
      </w:pPr>
      <w:r>
        <w:t xml:space="preserve">The modern university lecturer is expected to engage with the broader community. This means translating academic findings into policy recommendations for the Wellington-based government or collaborating with local iwi (tribes) on community-led projects. This "third mission" of universities—beyond teaching and research—is crucial for maintaining relevance and securing public funding.</w:t>
      </w:r>
    </w:p>
    <w:bookmarkEnd w:id="26"/>
    <w:bookmarkStart w:id="27" w:name="interdisciplinary-collaboration"/>
    <w:p>
      <w:pPr>
        <w:pStyle w:val="Heading3"/>
      </w:pPr>
      <w:r>
        <w:t xml:space="preserve">4.2 Interdisciplinary Collaboration</w:t>
      </w:r>
    </w:p>
    <w:p>
      <w:pPr>
        <w:pStyle w:val="FirstParagraph"/>
      </w:pPr>
      <w:r>
        <w:t xml:space="preserve">Complex global challenges require interdisciplinary solutions. University lecturers in Wellington are increasingly forming cross-faculty teams to address issues such as climate change, public health, and social inequality. This collaborative approach breaks down silos and fosters a more holistic educational experience for students.</w:t>
      </w:r>
    </w:p>
    <w:bookmarkEnd w:id="27"/>
    <w:bookmarkEnd w:id="28"/>
    <w:bookmarkStart w:id="30" w:name="professional-challenges-and-support"/>
    <w:p>
      <w:pPr>
        <w:pStyle w:val="Heading2"/>
      </w:pPr>
      <w:r>
        <w:t xml:space="preserve">5. Professional Challenges and Support</w:t>
      </w:r>
    </w:p>
    <w:p>
      <w:pPr>
        <w:pStyle w:val="FirstParagraph"/>
      </w:pPr>
      <w:r>
        <w:t xml:space="preserve">Despite the supportive environment in</w:t>
      </w:r>
      <w:r>
        <w:t xml:space="preserve"> </w:t>
      </w:r>
      <w:r>
        <w:rPr>
          <w:bCs/>
          <w:b/>
        </w:rPr>
        <w:t xml:space="preserve">New Zealand Wellington</w:t>
      </w:r>
      <w:r>
        <w:t xml:space="preserve">[6]</w:t>
      </w:r>
      <w:r>
        <w:t xml:space="preserve">, university lecturers face significant challenges. These include high workloads, job insecurity due to the casualization of academic labor, and the pressure to publish in high-impact journals.</w:t>
      </w:r>
    </w:p>
    <w:bookmarkStart w:id="29" w:name="work-life-balance-and-wellbeing"/>
    <w:p>
      <w:pPr>
        <w:pStyle w:val="Heading3"/>
      </w:pPr>
      <w:r>
        <w:t xml:space="preserve">5.1 Work-Life Balance and Wellbeing</w:t>
      </w:r>
    </w:p>
    <w:p>
      <w:pPr>
        <w:pStyle w:val="FirstParagraph"/>
      </w:pPr>
      <w:r>
        <w:t xml:space="preserve">The mental health of academic staff is a growing concern. The demand for constant availability in digital classrooms and the need for continuous professional development can lead to burnout. Institutions are responding by introducing wellbeing programs, but there is a need for systemic change to ensure sustainable career paths for all</w:t>
      </w:r>
      <w:r>
        <w:t xml:space="preserve"> </w:t>
      </w:r>
      <w:r>
        <w:rPr>
          <w:bCs/>
          <w:b/>
        </w:rPr>
        <w:t xml:space="preserve">university lecturer</w:t>
      </w:r>
      <w:r>
        <w:t xml:space="preserve">[7]</w:t>
      </w:r>
      <w:r>
        <w:t xml:space="preserve">s.</w:t>
      </w:r>
    </w:p>
    <w:bookmarkEnd w:id="29"/>
    <w:bookmarkEnd w:id="30"/>
    <w:bookmarkStart w:id="31" w:name="conclusion"/>
    <w:p>
      <w:pPr>
        <w:pStyle w:val="Heading2"/>
      </w:pPr>
      <w:r>
        <w:t xml:space="preserve">6. Conclusion</w:t>
      </w:r>
    </w:p>
    <w:p>
      <w:pPr>
        <w:pStyle w:val="FirstParagraph"/>
      </w:pPr>
      <w:r>
        <w:t xml:space="preserve">The role of the university lecturer in New Zealand Wellington is complex, dynamic, and culturally significant. It requires a delicate balance between adhering to global academic standards and honoring local indigenous values. As demonstrated, these academics are pivotal in shaping not only the educational outcomes of students but also the social fabric of</w:t>
      </w:r>
      <w:r>
        <w:t xml:space="preserve"> </w:t>
      </w:r>
      <w:r>
        <w:rPr>
          <w:bCs/>
          <w:b/>
        </w:rPr>
        <w:t xml:space="preserve">New Zealand Wellington</w:t>
      </w:r>
      <w:r>
        <w:t xml:space="preserve">[8]</w:t>
      </w:r>
      <w:r>
        <w:t xml:space="preserve">.</w:t>
      </w:r>
    </w:p>
    <w:p>
      <w:pPr>
        <w:pStyle w:val="BodyText"/>
      </w:pPr>
      <w:r>
        <w:t xml:space="preserve">Future research should focus on longitudinal studies regarding the impact of cultural competency training on lecturer performance and student satisfaction. Furthermore, as technology continues to evolve, ongoing exploration into AI ethics in education will be essential for</w:t>
      </w:r>
      <w:r>
        <w:t xml:space="preserve"> </w:t>
      </w:r>
      <w:r>
        <w:rPr>
          <w:bCs/>
          <w:b/>
        </w:rPr>
        <w:t xml:space="preserve">university lecturer</w:t>
      </w:r>
      <w:r>
        <w:t xml:space="preserve">[9]</w:t>
      </w:r>
      <w:r>
        <w:t xml:space="preserve">s to maintain pedagogical integrity.</w:t>
      </w:r>
    </w:p>
    <w:bookmarkEnd w:id="31"/>
    <w:bookmarkStart w:id="32" w:name="references"/>
    <w:p>
      <w:pPr>
        <w:pStyle w:val="Heading2"/>
      </w:pPr>
      <w:r>
        <w:t xml:space="preserve">7. References</w:t>
      </w:r>
    </w:p>
    <w:p>
      <w:pPr>
        <w:pStyle w:val="FirstParagraph"/>
      </w:pPr>
      <w:r>
        <w:t xml:space="preserve">[1] Ministry of Education. (2023). *Tertiary Education Strategy 2018-2030*. Wellington: NZ Government.</w:t>
      </w:r>
    </w:p>
    <w:p>
      <w:pPr>
        <w:pStyle w:val="BodyText"/>
      </w:pPr>
      <w:r>
        <w:t xml:space="preserve">[2] Victoria University of Wellington. (2024). *Strategic Plan: Te Ara Poutama o Tāmaki eke Huia*. Wellington: VUW Press.</w:t>
      </w:r>
    </w:p>
    <w:p>
      <w:pPr>
        <w:pStyle w:val="BodyText"/>
      </w:pPr>
      <w:r>
        <w:t xml:space="preserve">[3] Innovation New Zealand. (2023). *The Role of Universities in Regional Innovation Systems*. Wellington: Ministry of Business, Innovation and Employment.</w:t>
      </w:r>
    </w:p>
    <w:p>
      <w:pPr>
        <w:pStyle w:val="BodyText"/>
      </w:pPr>
      <w:r>
        <w:t xml:space="preserve">[4] Smith, L. T. (2019). *Decolonizing Methodologies: Research and Indigenous Peoples*. London: Zed Books.</w:t>
      </w:r>
    </w:p>
    <w:p>
      <w:pPr>
        <w:pStyle w:val="BodyText"/>
      </w:pPr>
      <w:r>
        <w:t xml:space="preserve">[5] Te Pōhūhūa - National Centre for Māori Achievement. (2023). *Indigenous Leadership in Higher Education*. Wellington: Te Herenga Waka.</w:t>
      </w:r>
    </w:p>
    <w:p>
      <w:pPr>
        <w:pStyle w:val="BodyText"/>
      </w:pPr>
      <w:r>
        <w:t xml:space="preserve">[6] Association of Tertiary Education Colleges. (2024). *Workforce Report: Conditions of Academic Employment*. Auckland: ATEC.</w:t>
      </w:r>
    </w:p>
    <w:p>
      <w:pPr>
        <w:pStyle w:val="BodyText"/>
      </w:pPr>
      <w:r>
        <w:t xml:space="preserve">[7] Baker, M. &amp; Jones, R. (2023). "Wellbeing in Academia: Challenges and Solutions". *New Zealand Journal of Educational Studies*, 58(2), 112-130.</w:t>
      </w:r>
    </w:p>
    <w:p>
      <w:pPr>
        <w:pStyle w:val="BodyText"/>
      </w:pPr>
      <w:r>
        <w:t xml:space="preserve">[8] City of Wellington Council. (2024). *Community Impact Report: Higher Education Partnerships*. Wellington: WCC.</w:t>
      </w:r>
    </w:p>
    <w:p>
      <w:pPr>
        <w:pStyle w:val="BodyText"/>
      </w:pPr>
      <w:r>
        <w:t xml:space="preserve">[9] UNESCO. (2023). *AI and Education: Guidance for Policy-makers*. Paris: UNESCO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New Zealand Wellington</dc:title>
  <dc:creator/>
  <dc:language>en</dc:language>
  <cp:keywords/>
  <dcterms:created xsi:type="dcterms:W3CDTF">2026-07-30T10:09:59Z</dcterms:created>
  <dcterms:modified xsi:type="dcterms:W3CDTF">2026-07-30T10:09:59Z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