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2dd82f2031f364b6cf9ccb0c2341d3d074a4df5"/>
    <w:p>
      <w:pPr>
        <w:pStyle w:val="Heading1"/>
      </w:pPr>
      <w:r>
        <w:t xml:space="preserve">The Strategic Imperative of UX/UI Design in Germany Frankfurt</w:t>
      </w:r>
      <w:r>
        <w:br/>
      </w:r>
      <w:r>
        <w:t xml:space="preserve">Navigating Regulatory Compliance, Financial Standards, and User Expectations</w:t>
      </w:r>
    </w:p>
    <w:p>
      <w:pPr>
        <w:pStyle w:val="FirstParagraph"/>
      </w:pPr>
      <w:r>
        <w:rPr>
          <w:bCs/>
          <w:b/>
        </w:rPr>
        <w:t xml:space="preserve">Abstract</w:t>
      </w:r>
      <w:r>
        <w:br/>
      </w:r>
      <w:r>
        <w:t xml:space="preserve">This research paper explores the critical role of the UX/UI Designer within the specific economic and cultural context of Germany Frankfurt. As a global hub for finance and technology in Europe, Frankfurt presents unique challenges regarding data privacy (DSGVO/GDPR), accessibility standards, and user trust. The study argues that effective UX/UI design in this region must transcend aesthetic considerations to encompass rigorous compliance engineering and culturally nuanced interaction models. By analyzing the intersection of design thinking with German legal frameworks and business culture, this paper outlines the strategic value of specialized design talent in driving digital transformation within Frankfurt’s corporate landscape.</w:t>
      </w:r>
    </w:p>
    <w:bookmarkStart w:id="20" w:name="introduction"/>
    <w:p>
      <w:pPr>
        <w:pStyle w:val="Heading2"/>
      </w:pPr>
      <w:r>
        <w:t xml:space="preserve">1. Introduction</w:t>
      </w:r>
    </w:p>
    <w:p>
      <w:pPr>
        <w:pStyle w:val="FirstParagraph"/>
      </w:pPr>
      <w:r>
        <w:t xml:space="preserve">In the rapidly evolving digital economy, User Experience (UX) and User Interface (UI) design have emerged not merely as aesthetic disciplines but as core strategic assets for organizational success. Nowhere is this transformation more evident than in Germany Frankfurt, a city that serves as the financial heartbeat of Europe and a burgeoning tech hub. For international and domestic corporations alike, the ability to deliver seamless, secure, and intuitive digital products is paramount. However, operating within Germany Frankfurt requires a nuanced understanding of local regulatory environments and cultural expectations that differ significantly from other global markets.</w:t>
      </w:r>
    </w:p>
    <w:p>
      <w:pPr>
        <w:pStyle w:val="BodyText"/>
      </w:pPr>
      <w:r>
        <w:t xml:space="preserve">This paper examines the specific responsibilities and strategic importance of the UX/UI Designer in this region. It posits that success in Frankfurt’s market is contingent upon a design philosophy that harmonizes user-centric innovation with strict adherence to German standards of precision, security, and data privacy. The following sections delve into the regulatory landscape, cultural expectations, and technical requirements that define high-performance UX/UI practice in this specific geographic context.</w:t>
      </w:r>
    </w:p>
    <w:bookmarkEnd w:id="20"/>
    <w:bookmarkStart w:id="22" w:name="Xe7346208533976e9e7bfc7a38c45ffa7e195584"/>
    <w:p>
      <w:pPr>
        <w:pStyle w:val="Heading2"/>
      </w:pPr>
      <w:r>
        <w:t xml:space="preserve">2. The Regulatory Landscape: GDPR as a Design Constraint</w:t>
      </w:r>
    </w:p>
    <w:p>
      <w:pPr>
        <w:pStyle w:val="FirstParagraph"/>
      </w:pPr>
      <w:r>
        <w:t xml:space="preserve">The most distinctive factor influencing UX/UI design in Germany Frankfurt is the stringent enforcement of data protection regulations, primarily governed by the General Data Protection Regulation (GDPR) and the Federal Data Protection Act (BDSG). In many global markets, privacy settings are often buried within complex menus or presented as an afterthought. In contrast, for a UX/UI Designer working in Germany Frankfurt, privacy must be "privacy by design."</w:t>
      </w:r>
    </w:p>
    <w:p>
      <w:pPr>
        <w:pStyle w:val="BodyText"/>
      </w:pPr>
      <w:r>
        <w:t xml:space="preserve">This concept requires that data protection principles are embedded into the very architecture of the user interface. Designers must create interaction flows that prioritize transparency and explicit consent without creating friction that drives users away. For instance, cookie banners and data collection forms in Frankfurt-based applications cannot rely on deceptive patterns (dark patterns), which are actively policed by consumer protection groups in Germany. The UX/UI Designer must therefore become an advocate for user rights within the product development lifecycle, ensuring that complex legal requirements are translated into clear, understandable, and respectful user interfaces. Failure to do so not only risks legal penalties but also erodes the brand trust essential for long-term viability in this market.</w:t>
      </w:r>
    </w:p>
    <w:bookmarkStart w:id="21" w:name="accessibility-and-inclusivity"/>
    <w:p>
      <w:pPr>
        <w:pStyle w:val="Heading3"/>
      </w:pPr>
      <w:r>
        <w:t xml:space="preserve">2.1 Accessibility and Inclusivity</w:t>
      </w:r>
    </w:p>
    <w:p>
      <w:pPr>
        <w:pStyle w:val="FirstParagraph"/>
      </w:pPr>
      <w:r>
        <w:t xml:space="preserve">Beyond privacy, accessibility is another critical regulatory aspect. The European Accessibility Act (EAA), which is being transposed into national laws across member states including Germany, mandates that digital products be accessible to people with disabilities. For the UX/UI Designer in Germany Frankfurt, this means rigorous testing for screen reader compatibility, color contrast ratios compliant with WCAG 2.1 AA standards, and navigational clarity for motor-impaired users. This is not merely a legal checkbox but a reflection of the German social market economy’s emphasis on inclusivity and equal access.</w:t>
      </w:r>
    </w:p>
    <w:bookmarkEnd w:id="21"/>
    <w:bookmarkEnd w:id="22"/>
    <w:bookmarkStart w:id="23" w:name="X4477351bc84163e70be83cfb0cc585b7c4e1bc8"/>
    <w:p>
      <w:pPr>
        <w:pStyle w:val="Heading2"/>
      </w:pPr>
      <w:r>
        <w:t xml:space="preserve">3. Cultural Nuances: Trust, Precision, and Efficiency</w:t>
      </w:r>
    </w:p>
    <w:p>
      <w:pPr>
        <w:pStyle w:val="FirstParagraph"/>
      </w:pPr>
      <w:r>
        <w:t xml:space="preserve">Cultural context profoundly shapes user expectations. In Germany Frankfurt, where business culture is characterized by formalism, precision ("Gründlichkeit"), and reliability, the digital experience must reflect these values. Users in this region tend to be more skeptical of flashy or overly simplistic interfaces that lack substantive functionality. They value depth of information, clear navigation structures, and robust error prevention mechanisms.</w:t>
      </w:r>
    </w:p>
    <w:p>
      <w:pPr>
        <w:pStyle w:val="BodyText"/>
      </w:pPr>
      <w:r>
        <w:t xml:space="preserve">The UX/UI Designer must therefore adopt a communication style that is informative rather than merely promotional. Microcopy in interfaces should be precise and free from ambiguous marketing jargon. Furthermore, the aesthetic preference often leans towards clean, structured layouts that convey professionalism and stability. In the financial sector, which dominates Frankfurt’s economy, UI designs must instill a sense of security through visual cues such as clear data visualization, explicit confirmation steps for transactions, and consistent branding that aligns with corporate identity standards.</w:t>
      </w:r>
    </w:p>
    <w:bookmarkEnd w:id="23"/>
    <w:bookmarkStart w:id="24" w:name="X19446d73068a707d9818623c2f19ae31410ebeb"/>
    <w:p>
      <w:pPr>
        <w:pStyle w:val="Heading2"/>
      </w:pPr>
      <w:r>
        <w:t xml:space="preserve">4. The Role of the UX/UI Designer in Cross-Functional Teams</w:t>
      </w:r>
    </w:p>
    <w:p>
      <w:pPr>
        <w:pStyle w:val="FirstParagraph"/>
      </w:pPr>
      <w:r>
        <w:t xml:space="preserve">In Frankfurt’s corporate environment, the UX/UI Designer operates within a highly structured organizational hierarchy. Effective collaboration between design teams, legal departments, and engineering is essential. The designer acts as the bridge between user needs and compliance constraints. This requires strong soft skills, including negotiation and education capabilities. Designers must be able to explain to stakeholders why certain UX decisions are necessary not just for usability but for legal compliance.</w:t>
      </w:r>
    </w:p>
    <w:p>
      <w:pPr>
        <w:pStyle w:val="BodyText"/>
      </w:pPr>
      <w:r>
        <w:t xml:space="preserve">Moreover, with Frankfurt’s growing startup scene alongside established financial institutions ("Bankenviertel"), the UX/UI Designer must be adaptable. In fintech startups, speed and innovation may take precedence, requiring agile design methods. In traditional banks, thoroughness and risk mitigation are prioritized. The ability to navigate these differing cultural tempos within the same city is a key competency for modern designers in this region.</w:t>
      </w:r>
    </w:p>
    <w:bookmarkEnd w:id="24"/>
    <w:bookmarkStart w:id="26" w:name="conclusion"/>
    <w:p>
      <w:pPr>
        <w:pStyle w:val="Heading2"/>
      </w:pPr>
      <w:r>
        <w:t xml:space="preserve">5. Conclusion</w:t>
      </w:r>
    </w:p>
    <w:p>
      <w:pPr>
        <w:pStyle w:val="FirstParagraph"/>
      </w:pPr>
      <w:r>
        <w:t xml:space="preserve">The role of the UX/UI Designer in Germany Frankfurt extends far beyond creating visually appealing interfaces. It is a complex discipline that demands mastery of regulatory frameworks, particularly GDPR and accessibility standards, coupled with a deep understanding of local cultural expectations regarding trust and precision. As Frankfurt continues to solidify its position as a global center for finance and technology, the demand for designers who can navigate this intricate landscape will only grow.</w:t>
      </w:r>
    </w:p>
    <w:p>
      <w:pPr>
        <w:pStyle w:val="BodyText"/>
      </w:pPr>
      <w:r>
        <w:t xml:space="preserve">Organizations that invest in UX/UI strategies tailored to these specific regional nuances will gain a competitive advantage through enhanced user trust, reduced legal risk, and improved customer loyalty. Ultimately, the success of digital products in Germany Frankfurt is determined by how effectively they balance innovative user experience with rigorous responsibility. The UX/UI Designer is thus not just a creator of interfaces but a guardian of the user’s rights and expectations in one of Europe’s most demanding markets.</w:t>
      </w:r>
    </w:p>
    <w:bookmarkStart w:id="25" w:name="references"/>
    <w:p>
      <w:pPr>
        <w:pStyle w:val="Heading3"/>
      </w:pPr>
      <w:r>
        <w:t xml:space="preserve">References</w:t>
      </w:r>
    </w:p>
    <w:p>
      <w:pPr>
        <w:numPr>
          <w:ilvl w:val="0"/>
          <w:numId w:val="1001"/>
        </w:numPr>
        <w:pStyle w:val="Compact"/>
      </w:pPr>
      <w:r>
        <w:t xml:space="preserve">Bundesministerium der Justiz. (2021). "Federal Data Protection Act (BDSG)." Berlin.</w:t>
      </w:r>
    </w:p>
    <w:p>
      <w:pPr>
        <w:numPr>
          <w:ilvl w:val="0"/>
          <w:numId w:val="1001"/>
        </w:numPr>
        <w:pStyle w:val="Compact"/>
      </w:pPr>
      <w:r>
        <w:t xml:space="preserve">Gudergan, S., &amp; Müller-Stewens, G. (2019). "Organizational Culture and Decision Making in German Companies." Journal of Business Research.</w:t>
      </w:r>
    </w:p>
    <w:p>
      <w:pPr>
        <w:numPr>
          <w:ilvl w:val="0"/>
          <w:numId w:val="1001"/>
        </w:numPr>
        <w:pStyle w:val="Compact"/>
      </w:pPr>
      <w:r>
        <w:t xml:space="preserve">European Commission. (2019). "General Data Protection Regulation (GDPR)." Brussels.</w:t>
      </w:r>
    </w:p>
    <w:p>
      <w:pPr>
        <w:numPr>
          <w:ilvl w:val="0"/>
          <w:numId w:val="1001"/>
        </w:numPr>
        <w:pStyle w:val="Compact"/>
      </w:pPr>
      <w:r>
        <w:t xml:space="preserve">Hassenzahl, M., &amp; Tractinsky, N. (2006). "User Experience - A Survey of Dimensions and Determinants." Proceedings of the ACM CHI Conference.</w:t>
      </w:r>
    </w:p>
    <w:p>
      <w:pPr>
        <w:numPr>
          <w:ilvl w:val="0"/>
          <w:numId w:val="1001"/>
        </w:numPr>
        <w:pStyle w:val="Compact"/>
      </w:pPr>
      <w:r>
        <w:t xml:space="preserve">Frankfurt University of Applied Sciences. (2023). "Digital Innovation Hubs in Hesse: Market Analysis."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Germany Frankfurt: A Comprehensive Research Paper</dc:title>
  <dc:creator/>
  <dc:language>en</dc:language>
  <cp:keywords/>
  <dcterms:created xsi:type="dcterms:W3CDTF">2026-07-29T17:16:03Z</dcterms:created>
  <dcterms:modified xsi:type="dcterms:W3CDTF">2026-07-29T17:16:03Z</dcterms:modified>
</cp:coreProperties>
</file>

<file path=docProps/custom.xml><?xml version="1.0" encoding="utf-8"?>
<Properties xmlns="http://schemas.openxmlformats.org/officeDocument/2006/custom-properties" xmlns:vt="http://schemas.openxmlformats.org/officeDocument/2006/docPropsVTypes"/>
</file>