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Academic</w:t>
      </w:r>
      <w:r>
        <w:t xml:space="preserve"> </w:t>
      </w:r>
      <w:r>
        <w:t xml:space="preserve">Researcher</w:t>
      </w:r>
      <w:r>
        <w:t xml:space="preserve"> </w:t>
      </w:r>
      <w:r>
        <w:t xml:space="preserve">Excellence</w:t>
      </w:r>
      <w:r>
        <w:t xml:space="preserve"> </w:t>
      </w:r>
      <w:r>
        <w:t xml:space="preserve">in</w:t>
      </w:r>
      <w:r>
        <w:t xml:space="preserve"> </w:t>
      </w:r>
      <w:r>
        <w:t xml:space="preserve">São</w:t>
      </w:r>
      <w:r>
        <w:t xml:space="preserve"> </w:t>
      </w:r>
      <w:r>
        <w:t xml:space="preserve">Paulo,</w:t>
      </w:r>
      <w:r>
        <w:t xml:space="preserve"> </w:t>
      </w:r>
      <w:r>
        <w:t xml:space="preserve">Brazil</w:t>
      </w:r>
    </w:p>
    <w:bookmarkStart w:id="29" w:name="Xa99acf7d5fb2157c94142f95c68b99e065dad9e"/>
    <w:p>
      <w:pPr>
        <w:pStyle w:val="Heading1"/>
      </w:pPr>
      <w:r>
        <w:t xml:space="preserve">Research Proposal: Strategic Framework for Enhancing Academic Researcher Impact in São Paulo, Brazil</w:t>
      </w:r>
    </w:p>
    <w:bookmarkStart w:id="20" w:name="introduction-and-context"/>
    <w:p>
      <w:pPr>
        <w:pStyle w:val="Heading2"/>
      </w:pPr>
      <w:r>
        <w:t xml:space="preserve">Introduction and Context</w:t>
      </w:r>
    </w:p>
    <w:p>
      <w:pPr>
        <w:pStyle w:val="FirstParagraph"/>
      </w:pPr>
      <w:r>
        <w:t xml:space="preserve">The role of the</w:t>
      </w:r>
      <w:r>
        <w:t xml:space="preserve"> </w:t>
      </w:r>
      <w:r>
        <w:rPr>
          <w:bCs/>
          <w:b/>
        </w:rPr>
        <w:t xml:space="preserve">Academic Researcher</w:t>
      </w:r>
      <w:r>
        <w:t xml:space="preserve"> </w:t>
      </w:r>
      <w:r>
        <w:t xml:space="preserve">is pivotal in driving innovation, economic development, and social progress across Brazil. In the state of São Paulo—the nation's most populous and economically dynamic region—universities like USP (University of São Paulo) and Unicamp (State University of Campinas) serve as critical hubs for knowledge production. However, persistent challenges such as fragmented funding structures, bureaucratic barriers in public institutions, and regional disparities in research infrastructure hinder the full potential of</w:t>
      </w:r>
      <w:r>
        <w:t xml:space="preserve"> </w:t>
      </w:r>
      <w:r>
        <w:rPr>
          <w:bCs/>
          <w:b/>
        </w:rPr>
        <w:t xml:space="preserve">Academic Researcher</w:t>
      </w:r>
      <w:r>
        <w:t xml:space="preserve"> </w:t>
      </w:r>
      <w:r>
        <w:t xml:space="preserve">contributions. This</w:t>
      </w:r>
      <w:r>
        <w:t xml:space="preserve"> </w:t>
      </w:r>
      <w:r>
        <w:rPr>
          <w:bCs/>
          <w:b/>
        </w:rPr>
        <w:t xml:space="preserve">Research Proposal</w:t>
      </w:r>
      <w:r>
        <w:t xml:space="preserve"> </w:t>
      </w:r>
      <w:r>
        <w:t xml:space="preserve">addresses these gaps through a targeted investigation into optimizing the ecosystem supporting researchers within Brazil São Paulo.</w:t>
      </w:r>
    </w:p>
    <w:bookmarkEnd w:id="20"/>
    <w:bookmarkStart w:id="21" w:name="purpose-and-significance"/>
    <w:p>
      <w:pPr>
        <w:pStyle w:val="Heading2"/>
      </w:pPr>
      <w:r>
        <w:t xml:space="preserve">Purpose and Significance</w:t>
      </w:r>
    </w:p>
    <w:p>
      <w:pPr>
        <w:pStyle w:val="FirstParagraph"/>
      </w:pPr>
      <w:r>
        <w:t xml:space="preserve">This study aims to develop a scalable model for institutional support systems that empower</w:t>
      </w:r>
      <w:r>
        <w:t xml:space="preserve"> </w:t>
      </w:r>
      <w:r>
        <w:rPr>
          <w:bCs/>
          <w:b/>
        </w:rPr>
        <w:t xml:space="preserve">Academic Researcher</w:t>
      </w:r>
      <w:r>
        <w:t xml:space="preserve">s in São Paulo's higher education landscape. The significance lies in aligning with Brazil's National Science, Technology, and Innovation Policy (PNCTI 2023–2030), which prioritizes strengthening research capacity in key states like São Paulo. By focusing on this region—home to over 55% of Brazil’s scientific publications—the</w:t>
      </w:r>
      <w:r>
        <w:t xml:space="preserve"> </w:t>
      </w:r>
      <w:r>
        <w:rPr>
          <w:bCs/>
          <w:b/>
        </w:rPr>
        <w:t xml:space="preserve">Research Proposal</w:t>
      </w:r>
      <w:r>
        <w:t xml:space="preserve"> </w:t>
      </w:r>
      <w:r>
        <w:t xml:space="preserve">directly contributes to national goals while addressing localized needs. Specifically, it will identify how resource allocation, interdisciplinary collaboration frameworks, and policy incentives can be restructured to elevate research output quality and societal impact within Brazil São Paulo.</w:t>
      </w:r>
    </w:p>
    <w:bookmarkEnd w:id="21"/>
    <w:bookmarkStart w:id="22" w:name="research-objectives"/>
    <w:p>
      <w:pPr>
        <w:pStyle w:val="Heading2"/>
      </w:pPr>
      <w:r>
        <w:t xml:space="preserve">Research Objectives</w:t>
      </w:r>
    </w:p>
    <w:p>
      <w:pPr>
        <w:numPr>
          <w:ilvl w:val="0"/>
          <w:numId w:val="1001"/>
        </w:numPr>
        <w:pStyle w:val="Compact"/>
      </w:pPr>
      <w:r>
        <w:rPr>
          <w:bCs/>
          <w:b/>
        </w:rPr>
        <w:t xml:space="preserve">Diagnose systemic barriers</w:t>
      </w:r>
      <w:r>
        <w:t xml:space="preserve">: Analyze institutional policies, funding mechanisms (e.g., CNPq, FAPESP), and administrative processes affecting researchers across 10 public universities in São Paulo state.</w:t>
      </w:r>
    </w:p>
    <w:p>
      <w:pPr>
        <w:numPr>
          <w:ilvl w:val="0"/>
          <w:numId w:val="1001"/>
        </w:numPr>
        <w:pStyle w:val="Compact"/>
      </w:pPr>
      <w:r>
        <w:rPr>
          <w:bCs/>
          <w:b/>
        </w:rPr>
        <w:t xml:space="preserve">Evaluate support infrastructure</w:t>
      </w:r>
      <w:r>
        <w:t xml:space="preserve">: Assess the efficacy of existing mentorship programs, lab facilities, and technology access for early-career</w:t>
      </w:r>
      <w:r>
        <w:t xml:space="preserve"> </w:t>
      </w:r>
      <w:r>
        <w:rPr>
          <w:bCs/>
          <w:b/>
        </w:rPr>
        <w:t xml:space="preserve">Academic Researcher</w:t>
      </w:r>
      <w:r>
        <w:t xml:space="preserve">s in urban vs. peripheral São Paulo campuses.</w:t>
      </w:r>
    </w:p>
    <w:p>
      <w:pPr>
        <w:numPr>
          <w:ilvl w:val="0"/>
          <w:numId w:val="1001"/>
        </w:numPr>
        <w:pStyle w:val="Compact"/>
      </w:pPr>
      <w:r>
        <w:rPr>
          <w:bCs/>
          <w:b/>
        </w:rPr>
        <w:t xml:space="preserve">Develop evidence-based strategies</w:t>
      </w:r>
      <w:r>
        <w:t xml:space="preserve">: Co-create a framework with stakeholders (researchers, administrators, government bodies) to streamline research workflows and enhance interdisciplinary projects relevant to São Paulo’s socioeconomic challenges (e.g., urban sustainability, healthcare access).</w:t>
      </w:r>
    </w:p>
    <w:p>
      <w:pPr>
        <w:numPr>
          <w:ilvl w:val="0"/>
          <w:numId w:val="1001"/>
        </w:numPr>
        <w:pStyle w:val="Compact"/>
      </w:pPr>
      <w:r>
        <w:rPr>
          <w:bCs/>
          <w:b/>
        </w:rPr>
        <w:t xml:space="preserve">Measure impact metrics</w:t>
      </w:r>
      <w:r>
        <w:t xml:space="preserve">: Propose KPIs for tracking researcher productivity that reflect Brazil’s national priorities beyond traditional citation counts.</w:t>
      </w:r>
    </w:p>
    <w:bookmarkEnd w:id="22"/>
    <w:bookmarkStart w:id="23" w:name="methodology"/>
    <w:p>
      <w:pPr>
        <w:pStyle w:val="Heading2"/>
      </w:pPr>
      <w:r>
        <w:t xml:space="preserve">Methodology</w:t>
      </w:r>
    </w:p>
    <w:p>
      <w:pPr>
        <w:pStyle w:val="FirstParagraph"/>
      </w:pPr>
      <w:r>
        <w:t xml:space="preserve">This mixed-methods study employs a 15-month action-research approach in Brazil São Paulo. Phase 1 (Months 1–4) involves qualitative analysis of policy documents and semi-structured interviews with 60+</w:t>
      </w:r>
      <w:r>
        <w:t xml:space="preserve"> </w:t>
      </w:r>
      <w:r>
        <w:rPr>
          <w:bCs/>
          <w:b/>
        </w:rPr>
        <w:t xml:space="preserve">Academic Researcher</w:t>
      </w:r>
      <w:r>
        <w:t xml:space="preserve">s from diverse institutions across São Paulo state. Phase 2 (Months 5–9) deploys quantitative surveys targeting all researchers affiliated with FAPESP-funded projects (n=1,200) to quantify resource gaps. Phase 3 (Months 10–15) focuses on participatory workshops with university leadership and government representatives to design the support framework. Data analysis will use thematic coding for qualitative data and regression modeling for survey responses, ensuring alignment with Brazilian research ethics standards (Comitê de Ética em Pesquisa – CEPE).</w:t>
      </w:r>
    </w:p>
    <w:bookmarkEnd w:id="23"/>
    <w:bookmarkStart w:id="24" w:name="local-context-why-brazil-são-paulo"/>
    <w:p>
      <w:pPr>
        <w:pStyle w:val="Heading2"/>
      </w:pPr>
      <w:r>
        <w:t xml:space="preserve">Local Context: Why Brazil São Paulo?</w:t>
      </w:r>
    </w:p>
    <w:p>
      <w:pPr>
        <w:pStyle w:val="FirstParagraph"/>
      </w:pPr>
      <w:r>
        <w:t xml:space="preserve">São Paulo state accounts for 43% of Brazil’s research output but faces acute disparities. While São Paulo city hosts world-class institutions, peripheral regions (e.g., interior municipalities) suffer from underfunded labs and limited researcher mobility. Crucially, 70% of Brazilian researchers trained in São Paulo remain in the state post-graduation—a retention rate that could be optimized through better support systems. This</w:t>
      </w:r>
      <w:r>
        <w:t xml:space="preserve"> </w:t>
      </w:r>
      <w:r>
        <w:rPr>
          <w:bCs/>
          <w:b/>
        </w:rPr>
        <w:t xml:space="preserve">Research Proposal</w:t>
      </w:r>
      <w:r>
        <w:t xml:space="preserve"> </w:t>
      </w:r>
      <w:r>
        <w:t xml:space="preserve">leverages São Paulo’s status as Brazil’s innovation epicenter to generate scalable solutions applicable across the nation. For example, findings on integrating favela community needs into urban research (e.g., waste management projects in Parque São Jorge) will provide a replicable model for other Brazilian megacities.</w:t>
      </w:r>
    </w:p>
    <w:bookmarkEnd w:id="24"/>
    <w:bookmarkStart w:id="25" w:name="expected-outcomes-and-impact"/>
    <w:p>
      <w:pPr>
        <w:pStyle w:val="Heading2"/>
      </w:pPr>
      <w:r>
        <w:t xml:space="preserve">Expected Outcomes and Impact</w:t>
      </w:r>
    </w:p>
    <w:p>
      <w:pPr>
        <w:pStyle w:val="FirstParagraph"/>
      </w:pPr>
      <w:r>
        <w:t xml:space="preserve">This project will deliver four key outputs: (1) A publicly accessible digital toolkit for university administrators on restructuring researcher support; (2) Policy briefs for São Paulo state’s Secretaria de Educação and CNPq; (3) A validated metric framework adopted by FAPESP to evaluate research impact in social development contexts; and (4) Peer-reviewed publications in journals like</w:t>
      </w:r>
      <w:r>
        <w:t xml:space="preserve"> </w:t>
      </w:r>
      <w:r>
        <w:rPr>
          <w:iCs/>
          <w:i/>
        </w:rPr>
        <w:t xml:space="preserve">Revista Brasileira de Pesquisa em Administração</w:t>
      </w:r>
      <w:r>
        <w:t xml:space="preserve">. The most transformative outcome will be the establishment of a São Paulo state network for</w:t>
      </w:r>
      <w:r>
        <w:t xml:space="preserve"> </w:t>
      </w:r>
      <w:r>
        <w:rPr>
          <w:bCs/>
          <w:b/>
        </w:rPr>
        <w:t xml:space="preserve">Academic Researcher</w:t>
      </w:r>
      <w:r>
        <w:t xml:space="preserve"> </w:t>
      </w:r>
      <w:r>
        <w:t xml:space="preserve">advocacy, connecting researchers across 20 institutions to share resources and co-design future projects. Ultimately, this will position Brazil São Paulo as a leader in equitable research ecosystems within Latin America.</w:t>
      </w:r>
    </w:p>
    <w:bookmarkEnd w:id="25"/>
    <w:bookmarkStart w:id="26" w:name="timeline-and-resources"/>
    <w:p>
      <w:pPr>
        <w:pStyle w:val="Heading2"/>
      </w:pPr>
      <w:r>
        <w:t xml:space="preserve">Timeline and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Key Deliverables</w:t>
            </w:r>
          </w:p>
        </w:tc>
      </w:tr>
      <w:tr>
        <w:tc>
          <w:tcPr/>
          <w:p>
            <w:pPr>
              <w:pStyle w:val="Compact"/>
              <w:jc w:val="left"/>
            </w:pPr>
            <w:r>
              <w:t xml:space="preserve">Diagnostic Study &amp; Stakeholder Mapping</w:t>
            </w:r>
          </w:p>
        </w:tc>
        <w:tc>
          <w:tcPr/>
          <w:p>
            <w:pPr>
              <w:pStyle w:val="Compact"/>
              <w:jc w:val="left"/>
            </w:pPr>
            <w:r>
              <w:t xml:space="preserve">Month 1–4</w:t>
            </w:r>
          </w:p>
        </w:tc>
        <w:tc>
          <w:tcPr/>
          <w:p>
            <w:pPr>
              <w:pStyle w:val="Compact"/>
              <w:jc w:val="left"/>
            </w:pPr>
            <w:r>
              <w:t xml:space="preserve">São Paulo research ecosystem map; policy gap analysis report</w:t>
            </w:r>
          </w:p>
        </w:tc>
      </w:tr>
      <w:tr>
        <w:tc>
          <w:tcPr/>
          <w:p>
            <w:pPr>
              <w:pStyle w:val="Compact"/>
              <w:jc w:val="left"/>
            </w:pPr>
            <w:r>
              <w:t xml:space="preserve">Data Collection (Interviews/Surveys)</w:t>
            </w:r>
          </w:p>
        </w:tc>
        <w:tc>
          <w:tcPr/>
          <w:p>
            <w:pPr>
              <w:pStyle w:val="Compact"/>
              <w:jc w:val="left"/>
            </w:pPr>
            <w:r>
              <w:t xml:space="preserve">Month 5–9</w:t>
            </w:r>
          </w:p>
        </w:tc>
        <w:tc>
          <w:tcPr/>
          <w:p>
            <w:pPr>
              <w:pStyle w:val="Compact"/>
              <w:jc w:val="left"/>
            </w:pPr>
            <w:r>
              <w:t xml:space="preserve">Survey dataset; interview transcripts; preliminary barriers framework</w:t>
            </w:r>
          </w:p>
        </w:tc>
      </w:tr>
      <w:tr>
        <w:tc>
          <w:tcPr/>
          <w:p>
            <w:pPr>
              <w:pStyle w:val="Compact"/>
              <w:jc w:val="left"/>
            </w:pPr>
            <w:r>
              <w:t xml:space="preserve">Action-Planning Workshops &amp; Model Development</w:t>
            </w:r>
          </w:p>
        </w:tc>
        <w:tc>
          <w:tcPr/>
          <w:p>
            <w:pPr>
              <w:pStyle w:val="Compact"/>
              <w:jc w:val="left"/>
            </w:pPr>
            <w:r>
              <w:t xml:space="preserve">Month 10–12</w:t>
            </w:r>
          </w:p>
        </w:tc>
        <w:tc>
          <w:tcPr/>
          <w:p>
            <w:pPr>
              <w:pStyle w:val="Compact"/>
              <w:jc w:val="left"/>
            </w:pPr>
            <w:r>
              <w:t xml:space="preserve">Cohesive support system blueprint; stakeholder agreement document</w:t>
            </w:r>
          </w:p>
        </w:tc>
      </w:tr>
      <w:tr>
        <w:tc>
          <w:tcPr/>
          <w:p>
            <w:pPr>
              <w:pStyle w:val="Compact"/>
              <w:jc w:val="left"/>
            </w:pPr>
            <w:r>
              <w:t xml:space="preserve">Dissemination &amp; Institutional Adoption Strategy</w:t>
            </w:r>
          </w:p>
        </w:tc>
        <w:tc>
          <w:tcPr/>
          <w:p>
            <w:pPr>
              <w:pStyle w:val="Compact"/>
              <w:jc w:val="left"/>
            </w:pPr>
            <w:r>
              <w:t xml:space="preserve">Month 13–15</w:t>
            </w:r>
          </w:p>
        </w:tc>
        <w:tc>
          <w:tcPr/>
          <w:p>
            <w:pPr>
              <w:pStyle w:val="Compact"/>
              <w:jc w:val="left"/>
            </w:pPr>
            <w:r>
              <w:t xml:space="preserve">Digital toolkit; policy briefs; final project report for FAPESP/CNPq</w:t>
            </w:r>
          </w:p>
        </w:tc>
      </w:tr>
    </w:tbl>
    <w:bookmarkEnd w:id="26"/>
    <w:bookmarkStart w:id="27" w:name="budget-overview"/>
    <w:p>
      <w:pPr>
        <w:pStyle w:val="Heading2"/>
      </w:pPr>
      <w:r>
        <w:t xml:space="preserve">Budget Overview</w:t>
      </w:r>
    </w:p>
    <w:p>
      <w:pPr>
        <w:pStyle w:val="FirstParagraph"/>
      </w:pPr>
      <w:r>
        <w:t xml:space="preserve">Total requested funding: BRL 485,000 (≈ USD 93,500). Allocations prioritize São Paulo-specific needs: 35% for fieldwork across the state (travel to peripheral campuses), 25% for data analysis tools tailored to Brazilian institutional databases, and 20% for community workshops with favela stakeholders. The remaining funds cover personnel costs for two postdoctoral researchers (local hires) and dissemination activities in Portuguese/English.</w:t>
      </w:r>
    </w:p>
    <w:bookmarkEnd w:id="27"/>
    <w:bookmarkStart w:id="28" w:name="conclusion"/>
    <w:p>
      <w:pPr>
        <w:pStyle w:val="Heading2"/>
      </w:pPr>
      <w:r>
        <w:t xml:space="preserve">Conclusion</w:t>
      </w:r>
    </w:p>
    <w:p>
      <w:pPr>
        <w:pStyle w:val="FirstParagraph"/>
      </w:pPr>
      <w:r>
        <w:t xml:space="preserve">This</w:t>
      </w:r>
      <w:r>
        <w:t xml:space="preserve"> </w:t>
      </w:r>
      <w:r>
        <w:rPr>
          <w:bCs/>
          <w:b/>
        </w:rPr>
        <w:t xml:space="preserve">Research Proposal</w:t>
      </w:r>
      <w:r>
        <w:t xml:space="preserve"> </w:t>
      </w:r>
      <w:r>
        <w:t xml:space="preserve">transcends conventional academic inquiry by centering the lived experiences of the</w:t>
      </w:r>
      <w:r>
        <w:t xml:space="preserve"> </w:t>
      </w:r>
      <w:r>
        <w:rPr>
          <w:bCs/>
          <w:b/>
        </w:rPr>
        <w:t xml:space="preserve">Academic Researcher</w:t>
      </w:r>
      <w:r>
        <w:t xml:space="preserve"> </w:t>
      </w:r>
      <w:r>
        <w:t xml:space="preserve">within Brazil São Paulo’s unique sociopolitical landscape. It moves beyond documenting challenges to co-creating actionable solutions that can transform São Paulo into a national model for research excellence. By embedding equity, contextual relevance, and institutional collaboration at its core, this project promises not only to elevate individual researcher capacity but also to strengthen the very foundation of Brazil’s knowledge economy—proving that strategic investment in</w:t>
      </w:r>
      <w:r>
        <w:t xml:space="preserve"> </w:t>
      </w:r>
      <w:r>
        <w:rPr>
          <w:bCs/>
          <w:b/>
        </w:rPr>
        <w:t xml:space="preserve">Academic Researcher</w:t>
      </w:r>
      <w:r>
        <w:t xml:space="preserve"> </w:t>
      </w:r>
      <w:r>
        <w:t xml:space="preserve">success directly fuels sustainable development across São Paulo and beyond.</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Academic Researcher Excellence in São Paulo, Brazil</dc:title>
  <dc:creator/>
  <dc:language>en</dc:language>
  <cp:keywords/>
  <dcterms:created xsi:type="dcterms:W3CDTF">2026-07-23T22:26:37Z</dcterms:created>
  <dcterms:modified xsi:type="dcterms:W3CDTF">2026-07-23T22:26:37Z</dcterms:modified>
</cp:coreProperties>
</file>

<file path=docProps/custom.xml><?xml version="1.0" encoding="utf-8"?>
<Properties xmlns="http://schemas.openxmlformats.org/officeDocument/2006/custom-properties" xmlns:vt="http://schemas.openxmlformats.org/officeDocument/2006/docPropsVTypes"/>
</file>