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233910e73429c7e28065707833df1e5a1a2176"/>
    <w:p>
      <w:pPr>
        <w:pStyle w:val="Heading1"/>
      </w:pPr>
      <w:r>
        <w:t xml:space="preserve">Research Proposal: Advancing Sustainable Urban Innovation in China Beijing</w:t>
      </w:r>
    </w:p>
    <w:bookmarkStart w:id="20" w:name="introduction"/>
    <w:p>
      <w:pPr>
        <w:pStyle w:val="Heading2"/>
      </w:pPr>
      <w:r>
        <w:t xml:space="preserve">Introduction</w:t>
      </w:r>
    </w:p>
    <w:p>
      <w:pPr>
        <w:pStyle w:val="FirstParagraph"/>
      </w:pPr>
      <w:r>
        <w:t xml:space="preserve">This comprehensive Research Proposal outlines a groundbreaking academic research initiative designed specifically for an Academic Researcher position at a leading institution in China Beijing. As one of the world's most dynamic metropolises, Beijing faces unprecedented challenges in urban sustainability, technological integration, and environmental preservation – challenges that demand innovative scholarly investigation. This proposal positions an Academic Researcher as the pivotal catalyst for evidence-based solutions aligned with China's national development strategies and the global Sustainable Development Goals (SDGs). The focus on China Beijing ensures contextual relevance while contributing to the broader academic discourse on urban governance in emerging economies.</w:t>
      </w:r>
    </w:p>
    <w:bookmarkEnd w:id="20"/>
    <w:bookmarkStart w:id="21" w:name="literature-review-contextual-imperatives"/>
    <w:p>
      <w:pPr>
        <w:pStyle w:val="Heading2"/>
      </w:pPr>
      <w:r>
        <w:t xml:space="preserve">Literature Review: Contextual Imperatives</w:t>
      </w:r>
    </w:p>
    <w:p>
      <w:pPr>
        <w:pStyle w:val="FirstParagraph"/>
      </w:pPr>
      <w:r>
        <w:t xml:space="preserve">Existing scholarship on Chinese urbanization predominantly examines macroeconomic patterns without sufficient granularity for Beijing's unique ecosystem. While studies by Zhang (2021) and Li et al. (2023) address air quality and transportation, they lack integrated frameworks for policy implementation. Crucially, the gap between academic research and practical governance in China Beijing remains substantial – a void this Research Proposal explicitly targets. Recent UNESCO reports emphasize Beijing's role as a "laboratory for sustainable city models," yet academic engagement has been fragmented. This proposal bridges that divide by centering the Academic Researcher within Beijing's municipal innovation ecosystem, ensuring findings directly inform the 14th Five-Year Plan for urban development.</w:t>
      </w:r>
    </w:p>
    <w:bookmarkEnd w:id="21"/>
    <w:bookmarkStart w:id="22" w:name="research-objectives"/>
    <w:p>
      <w:pPr>
        <w:pStyle w:val="Heading2"/>
      </w:pPr>
      <w:r>
        <w:t xml:space="preserve">Research Objectives</w:t>
      </w:r>
    </w:p>
    <w:p>
      <w:pPr>
        <w:pStyle w:val="FirstParagraph"/>
      </w:pPr>
      <w:r>
        <w:t xml:space="preserve">The primary objectives of this research initiative are threefold:</w:t>
      </w:r>
    </w:p>
    <w:p>
      <w:pPr>
        <w:numPr>
          <w:ilvl w:val="0"/>
          <w:numId w:val="1001"/>
        </w:numPr>
        <w:pStyle w:val="Compact"/>
      </w:pPr>
      <w:r>
        <w:t xml:space="preserve">To develop a predictive AI model analyzing Beijing's carbon footprint across transportation, energy, and construction sectors using real-time municipal data.</w:t>
      </w:r>
    </w:p>
    <w:p>
      <w:pPr>
        <w:numPr>
          <w:ilvl w:val="0"/>
          <w:numId w:val="1001"/>
        </w:numPr>
        <w:pStyle w:val="Compact"/>
      </w:pPr>
      <w:r>
        <w:t xml:space="preserve">To design an inclusive governance framework that integrates community feedback mechanisms with Beijing's "Smart City" infrastructure.</w:t>
      </w:r>
    </w:p>
    <w:p>
      <w:pPr>
        <w:numPr>
          <w:ilvl w:val="0"/>
          <w:numId w:val="1001"/>
        </w:numPr>
        <w:pStyle w:val="Compact"/>
      </w:pPr>
      <w:r>
        <w:t xml:space="preserve">To establish a replicable academic-industry partnership model for sustainable urban innovation applicable across China Beijing and other megacities.</w:t>
      </w:r>
    </w:p>
    <w:bookmarkEnd w:id="22"/>
    <w:bookmarkStart w:id="23" w:name="X456b4599a20dfdf6cf59c6c150a262ea9b03f4e"/>
    <w:p>
      <w:pPr>
        <w:pStyle w:val="Heading2"/>
      </w:pPr>
      <w:r>
        <w:t xml:space="preserve">Methodology: Integrating Academic Rigor and Local Context</w:t>
      </w:r>
    </w:p>
    <w:p>
      <w:pPr>
        <w:pStyle w:val="FirstParagraph"/>
      </w:pPr>
      <w:r>
        <w:t xml:space="preserve">This Research Proposal employs a mixed-methods approach tailored to the Beijing context. Phase 1 involves computational modeling using Beijing Municipal Environmental Protection Bureau datasets (2019-2024) with machine learning algorithms developed in collaboration with Tsinghua University's AI Lab. Phase 2 implements participatory action research through community workshops across five districts of China Beijing, utilizing culturally adapted survey instruments validated by local sociologists. Crucially, the Academic Researcher will leverage Beijing's "Digital Twin City" initiative – an unprecedented municipal platform offering live urban data streams – to ensure real-time validation of findings. Ethical compliance with China's National Ethics Committee for Social Science Research (2023) will be paramount, ensuring all data collection adheres to stringent privacy regulations.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publicly accessible Beijing Urban Sustainability Dashboard integrating predictive analytics; (2) Policy briefs for the Beijing Municipal Commission of Development and Reform; (3) A peer-reviewed journal special issue on "Urban Innovation in China" co-authored with Chinese scholars. These outcomes directly advance China's 2060 carbon neutrality target while establishing a new benchmark for Academic Researcher engagement in policy development.</w:t>
      </w:r>
    </w:p>
    <w:p>
      <w:pPr>
        <w:pStyle w:val="BodyText"/>
      </w:pPr>
      <w:r>
        <w:t xml:space="preserve">The significance extends beyond Beijing: This Research Proposal sets a template for academic involvement in China's urban transformation, addressing the national priority of "innovation-driven development." By embedding the Academic Researcher within Beijing's innovation ecosystem – partnering with entities like Baidu Apollo and Tsinghua X-Lab – we ensure knowledge transfer from campus to city streets. Critically, this model demonstrates how international research standards can harmonize with China Beijing's governance structures, fostering mutual learning that benefits both Chinese policymakers and global academic communities.</w:t>
      </w:r>
    </w:p>
    <w:bookmarkEnd w:id="24"/>
    <w:bookmarkStart w:id="25" w:name="timeline-and-resource-integration"/>
    <w:p>
      <w:pPr>
        <w:pStyle w:val="Heading2"/>
      </w:pPr>
      <w:r>
        <w:t xml:space="preserve">Timeline and Resource Integration</w:t>
      </w:r>
    </w:p>
    <w:p>
      <w:pPr>
        <w:pStyle w:val="FirstParagraph"/>
      </w:pPr>
      <w:r>
        <w:t xml:space="preserve">A 30-month timeline ensures practical implementation within Beijing's administrative cycles:</w:t>
      </w:r>
    </w:p>
    <w:p>
      <w:pPr>
        <w:numPr>
          <w:ilvl w:val="0"/>
          <w:numId w:val="1002"/>
        </w:numPr>
        <w:pStyle w:val="Compact"/>
      </w:pPr>
      <w:r>
        <w:rPr>
          <w:bCs/>
          <w:b/>
        </w:rPr>
        <w:t xml:space="preserve">Months 1-6:</w:t>
      </w:r>
      <w:r>
        <w:t xml:space="preserve"> </w:t>
      </w:r>
      <w:r>
        <w:t xml:space="preserve">Data integration with Beijing Municipal platforms, ethics approvals, and community stakeholder mapping.</w:t>
      </w:r>
    </w:p>
    <w:p>
      <w:pPr>
        <w:numPr>
          <w:ilvl w:val="0"/>
          <w:numId w:val="1002"/>
        </w:numPr>
        <w:pStyle w:val="Compact"/>
      </w:pPr>
      <w:r>
        <w:rPr>
          <w:bCs/>
          <w:b/>
        </w:rPr>
        <w:t xml:space="preserve">Months 7-18:</w:t>
      </w:r>
      <w:r>
        <w:t xml:space="preserve"> </w:t>
      </w:r>
      <w:r>
        <w:t xml:space="preserve">Model development and pilot workshops across urban districts; iterative refinement of governance framework.</w:t>
      </w:r>
    </w:p>
    <w:p>
      <w:pPr>
        <w:numPr>
          <w:ilvl w:val="0"/>
          <w:numId w:val="1002"/>
        </w:numPr>
        <w:pStyle w:val="Compact"/>
      </w:pPr>
      <w:r>
        <w:rPr>
          <w:bCs/>
          <w:b/>
        </w:rPr>
        <w:t xml:space="preserve">Months 19-30:</w:t>
      </w:r>
      <w:r>
        <w:t xml:space="preserve"> </w:t>
      </w:r>
      <w:r>
        <w:t xml:space="preserve">Policy implementation trials, impact assessment, and knowledge dissemination through Beijing's innovation hubs.</w:t>
      </w:r>
    </w:p>
    <w:p>
      <w:pPr>
        <w:pStyle w:val="FirstParagraph"/>
      </w:pPr>
      <w:r>
        <w:t xml:space="preserve">Budget considerations prioritize leveraging China Beijing's existing infrastructure – estimated 65% of resources will utilize municipal data-sharing agreements rather than new equipment. The Academic Researcher position is structured to include dedicated time for policy liaison with the Beijing Science and Technology Commission, ensuring research remains responsive to local needs.</w:t>
      </w:r>
    </w:p>
    <w:bookmarkEnd w:id="25"/>
    <w:bookmarkStart w:id="26" w:name="X736613d8ff850503ff70c18057f7cc608d3088d"/>
    <w:p>
      <w:pPr>
        <w:pStyle w:val="Heading2"/>
      </w:pPr>
      <w:r>
        <w:t xml:space="preserve">Conclusion: A Strategic Imperative for China Beijing</w:t>
      </w:r>
    </w:p>
    <w:p>
      <w:pPr>
        <w:pStyle w:val="FirstParagraph"/>
      </w:pPr>
      <w:r>
        <w:t xml:space="preserve">This Research Proposal constitutes an urgent academic intervention at the intersection of urban science and Chinese national development. As China Beijing accelerates its transformation into a global innovation hub, the need for contextually grounded academic expertise has never been greater. An Academic Researcher positioned within this ecosystem will not merely conduct studies but actively co-create solutions that resonate with Beijing's cultural and administrative landscape while meeting international scholarly standards.</w:t>
      </w:r>
    </w:p>
    <w:p>
      <w:pPr>
        <w:pStyle w:val="BodyText"/>
      </w:pPr>
      <w:r>
        <w:t xml:space="preserve">By centering our research on China Beijing's unique challenges – from managing 21.5 million residents to balancing heritage preservation with technological advancement – we address what the United Nations describes as "the most complex urban experiment of the 21st century." This Research Proposal therefore transcends conventional academic work; it is a strategic investment in Beijing's sustainable future and a model for how Academic Researcher roles can drive tangible progress within China's innovation ecosystem. We invite consideration of this proposal as the foundation for an enduring partnership that elevates both Beijing's global urban leadership and the scholarly impact of its academic community.</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China Beijing</dc:title>
  <dc:creator/>
  <dc:language>en</dc:language>
  <cp:keywords/>
  <dcterms:created xsi:type="dcterms:W3CDTF">2026-07-23T09:10:29Z</dcterms:created>
  <dcterms:modified xsi:type="dcterms:W3CDTF">2026-07-23T09:10:29Z</dcterms:modified>
</cp:coreProperties>
</file>

<file path=docProps/custom.xml><?xml version="1.0" encoding="utf-8"?>
<Properties xmlns="http://schemas.openxmlformats.org/officeDocument/2006/custom-properties" xmlns:vt="http://schemas.openxmlformats.org/officeDocument/2006/docPropsVTypes"/>
</file>