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Iran</w:t>
      </w:r>
      <w:r>
        <w:t xml:space="preserve"> </w:t>
      </w:r>
      <w:r>
        <w:t xml:space="preserve">Tehran</w:t>
      </w:r>
    </w:p>
    <w:bookmarkStart w:id="32" w:name="Xc9a711d2acd798828d8aa80ac7c928e56d994fa"/>
    <w:p>
      <w:pPr>
        <w:pStyle w:val="Heading1"/>
      </w:pPr>
      <w:r>
        <w:t xml:space="preserve">Research Proposal: Enhancing Research Ecosystems for Academic Researchers in Iran Tehran</w:t>
      </w:r>
    </w:p>
    <w:bookmarkStart w:id="20" w:name="introduction"/>
    <w:p>
      <w:pPr>
        <w:pStyle w:val="Heading2"/>
      </w:pPr>
      <w:r>
        <w:t xml:space="preserve">1. Introduction</w:t>
      </w:r>
    </w:p>
    <w:p>
      <w:pPr>
        <w:pStyle w:val="FirstParagraph"/>
      </w:pPr>
      <w:r>
        <w:t xml:space="preserve">This comprehensive Research Proposal outlines a strategic initiative to elevate the research capabilities of Academic Researchers within Iran Tehran's higher education institutions. As the intellectual and academic hub of Iran, Tehran hosts prestigious universities including University of Tehran, Sharif University of Technology, and Amirkabir University that collectively contribute significantly to national knowledge production. However, persistent challenges in research infrastructure, funding accessibility, and international collaboration hinder the full potential of Academic Researchers in this context. This proposal addresses these gaps through a targeted framework designed specifically for Iran Tehran's academic landscape.</w:t>
      </w:r>
    </w:p>
    <w:bookmarkEnd w:id="20"/>
    <w:bookmarkStart w:id="21" w:name="problem-statement"/>
    <w:p>
      <w:pPr>
        <w:pStyle w:val="Heading2"/>
      </w:pPr>
      <w:r>
        <w:t xml:space="preserve">2. Problem Statement</w:t>
      </w:r>
    </w:p>
    <w:p>
      <w:pPr>
        <w:pStyle w:val="FirstParagraph"/>
      </w:pPr>
      <w:r>
        <w:t xml:space="preserve">Despite Iran's strong educational foundation, Academic Researchers in Tehran face critical constraints: limited access to cutting-edge research facilities (with only 37% of universities possessing advanced labs), bureaucratic hurdles in grant acquisition (averaging 18 months for approval), and insufficient international publishing support. A recent Ministry of Science survey revealed that Tehran-based researchers publish only 22% of their work in high-impact Q1 journals, compared to global benchmarks exceeding 45%. This research gap directly impacts Iran's scientific standing and innovation capacity, necessitating immediate intervention through this tailored Research Proposal.</w:t>
      </w:r>
    </w:p>
    <w:bookmarkEnd w:id="21"/>
    <w:bookmarkStart w:id="22" w:name="research-objectives"/>
    <w:p>
      <w:pPr>
        <w:pStyle w:val="Heading2"/>
      </w:pPr>
      <w:r>
        <w:t xml:space="preserve">3. Research Objectives</w:t>
      </w:r>
    </w:p>
    <w:p>
      <w:pPr>
        <w:numPr>
          <w:ilvl w:val="0"/>
          <w:numId w:val="1001"/>
        </w:numPr>
        <w:pStyle w:val="Compact"/>
      </w:pPr>
      <w:r>
        <w:t xml:space="preserve">To establish a Tehran-centric research ecosystem model optimizing resource allocation for Academic Researchers across 10 key universities</w:t>
      </w:r>
    </w:p>
    <w:p>
      <w:pPr>
        <w:numPr>
          <w:ilvl w:val="0"/>
          <w:numId w:val="1001"/>
        </w:numPr>
        <w:pStyle w:val="Compact"/>
      </w:pPr>
      <w:r>
        <w:t xml:space="preserve">To develop culturally appropriate digital collaboration platforms addressing language barriers in international publications</w:t>
      </w:r>
    </w:p>
    <w:p>
      <w:pPr>
        <w:numPr>
          <w:ilvl w:val="0"/>
          <w:numId w:val="1001"/>
        </w:numPr>
        <w:pStyle w:val="Compact"/>
      </w:pPr>
      <w:r>
        <w:t xml:space="preserve">To create a sustainable funding mechanism specifically for early-career Academic Researchers in Iran Tehran</w:t>
      </w:r>
    </w:p>
    <w:p>
      <w:pPr>
        <w:numPr>
          <w:ilvl w:val="0"/>
          <w:numId w:val="1001"/>
        </w:numPr>
        <w:pStyle w:val="Compact"/>
      </w:pPr>
      <w:r>
        <w:t xml:space="preserve">To measure the impact of implemented strategies on research output quality and quantity within 36 months</w:t>
      </w:r>
    </w:p>
    <w:bookmarkEnd w:id="22"/>
    <w:bookmarkStart w:id="26" w:name="Xc51666db8aeb48e3693c0bdfc3bb05cf4f20151"/>
    <w:p>
      <w:pPr>
        <w:pStyle w:val="Heading2"/>
      </w:pPr>
      <w:r>
        <w:t xml:space="preserve">4. Methodology: Context-Adapted Approach for Iran Tehran</w:t>
      </w:r>
    </w:p>
    <w:p>
      <w:pPr>
        <w:pStyle w:val="FirstParagraph"/>
      </w:pPr>
      <w:r>
        <w:t xml:space="preserve">This mixed-methods study will employ a three-phase methodology uniquely calibrated for Iran Tehran's academic environment:</w:t>
      </w:r>
    </w:p>
    <w:bookmarkStart w:id="23" w:name="phase-1-institutional-mapping-months-1-4"/>
    <w:p>
      <w:pPr>
        <w:pStyle w:val="Heading3"/>
      </w:pPr>
      <w:r>
        <w:t xml:space="preserve">Phase 1: Institutional Mapping (Months 1-4)</w:t>
      </w:r>
    </w:p>
    <w:p>
      <w:pPr>
        <w:pStyle w:val="FirstParagraph"/>
      </w:pPr>
      <w:r>
        <w:t xml:space="preserve">Conduct comprehensive audits of research infrastructure across Tehran's top 8 universities through site visits and faculty interviews. This will identify resource gaps (e.g., specialized equipment shortages at Tehran Science and Technology University) while respecting Iran's academic governance structure. The data will form the basis for a customized Research Proposal framework.</w:t>
      </w:r>
    </w:p>
    <w:bookmarkEnd w:id="23"/>
    <w:bookmarkStart w:id="24" w:name="X2855b6ffde93dc21e26d4d26106f4beb3cd215a"/>
    <w:p>
      <w:pPr>
        <w:pStyle w:val="Heading3"/>
      </w:pPr>
      <w:r>
        <w:t xml:space="preserve">Phase 2: Community-Driven Intervention (Months 5-18)</w:t>
      </w:r>
    </w:p>
    <w:p>
      <w:pPr>
        <w:pStyle w:val="FirstParagraph"/>
      </w:pPr>
      <w:r>
        <w:t xml:space="preserve">Co-create solutions with Academic Researchers through Tehran-based workshops facilitated by the Iranian Association of University Professors. Key initiatives include:</w:t>
      </w:r>
    </w:p>
    <w:p>
      <w:pPr>
        <w:numPr>
          <w:ilvl w:val="0"/>
          <w:numId w:val="1002"/>
        </w:numPr>
        <w:pStyle w:val="Compact"/>
      </w:pPr>
      <w:r>
        <w:rPr>
          <w:bCs/>
          <w:b/>
        </w:rPr>
        <w:t xml:space="preserve">Tehran Research Accelerator Network:</w:t>
      </w:r>
      <w:r>
        <w:t xml:space="preserve"> </w:t>
      </w:r>
      <w:r>
        <w:t xml:space="preserve">A digital platform connecting researchers with regional industry partners (e.g., Tehran Medical Science Park) for applied research</w:t>
      </w:r>
    </w:p>
    <w:p>
      <w:pPr>
        <w:numPr>
          <w:ilvl w:val="0"/>
          <w:numId w:val="1002"/>
        </w:numPr>
        <w:pStyle w:val="Compact"/>
      </w:pPr>
      <w:r>
        <w:rPr>
          <w:bCs/>
          <w:b/>
        </w:rPr>
        <w:t xml:space="preserve">Culturally-Responsive Publication Mentorship:</w:t>
      </w:r>
      <w:r>
        <w:t xml:space="preserve"> </w:t>
      </w:r>
      <w:r>
        <w:t xml:space="preserve">Training programs addressing common barriers in international journal submissions, delivered by Iranian scholars with Q1 publication experience</w:t>
      </w:r>
    </w:p>
    <w:p>
      <w:pPr>
        <w:numPr>
          <w:ilvl w:val="0"/>
          <w:numId w:val="1002"/>
        </w:numPr>
        <w:pStyle w:val="Compact"/>
      </w:pPr>
      <w:r>
        <w:rPr>
          <w:bCs/>
          <w:b/>
        </w:rPr>
        <w:t xml:space="preserve">Seed Grant Program:</w:t>
      </w:r>
      <w:r>
        <w:t xml:space="preserve"> </w:t>
      </w:r>
      <w:r>
        <w:t xml:space="preserve">Direct funding mechanism with streamlined approval process (target: ≤6 months) for Tehran-based Academic Researchers in STEM and social sciences</w:t>
      </w:r>
    </w:p>
    <w:bookmarkEnd w:id="24"/>
    <w:bookmarkStart w:id="25" w:name="phase-3-impact-assessment-months-19-36"/>
    <w:p>
      <w:pPr>
        <w:pStyle w:val="Heading3"/>
      </w:pPr>
      <w:r>
        <w:t xml:space="preserve">Phase 3: Impact Assessment (Months 19-36)</w:t>
      </w:r>
    </w:p>
    <w:p>
      <w:pPr>
        <w:pStyle w:val="FirstParagraph"/>
      </w:pPr>
      <w:r>
        <w:t xml:space="preserve">Evaluate outcomes using pre/post metrics including:</w:t>
      </w:r>
    </w:p>
    <w:p>
      <w:pPr>
        <w:numPr>
          <w:ilvl w:val="0"/>
          <w:numId w:val="1003"/>
        </w:numPr>
        <w:pStyle w:val="Compact"/>
      </w:pPr>
      <w:r>
        <w:t xml:space="preserve">Research output growth (measured via Scopus/WoS citations)</w:t>
      </w:r>
    </w:p>
    <w:p>
      <w:pPr>
        <w:numPr>
          <w:ilvl w:val="0"/>
          <w:numId w:val="1003"/>
        </w:numPr>
        <w:pStyle w:val="Compact"/>
      </w:pPr>
      <w:r>
        <w:t xml:space="preserve">International collaboration rate increases</w:t>
      </w:r>
    </w:p>
    <w:p>
      <w:pPr>
        <w:numPr>
          <w:ilvl w:val="0"/>
          <w:numId w:val="1003"/>
        </w:numPr>
        <w:pStyle w:val="Compact"/>
      </w:pPr>
      <w:r>
        <w:t xml:space="preserve">University research budget allocation efficiency</w:t>
      </w:r>
    </w:p>
    <w:bookmarkEnd w:id="25"/>
    <w:bookmarkEnd w:id="26"/>
    <w:bookmarkStart w:id="27" w:name="X20d64fc92c161199cb7c5f95ac0336aa11c6dd7"/>
    <w:p>
      <w:pPr>
        <w:pStyle w:val="Heading2"/>
      </w:pPr>
      <w:r>
        <w:t xml:space="preserve">5. Significance for Iran Tehran's Academic Ecosystem</w:t>
      </w:r>
    </w:p>
    <w:p>
      <w:pPr>
        <w:pStyle w:val="FirstParagraph"/>
      </w:pPr>
      <w:r>
        <w:t xml:space="preserve">This Research Proposal delivers transformative value specifically for Iran Tehran by:</w:t>
      </w:r>
    </w:p>
    <w:p>
      <w:pPr>
        <w:numPr>
          <w:ilvl w:val="0"/>
          <w:numId w:val="1004"/>
        </w:numPr>
        <w:pStyle w:val="Compact"/>
      </w:pPr>
      <w:r>
        <w:rPr>
          <w:bCs/>
          <w:b/>
        </w:rPr>
        <w:t xml:space="preserve">Elevating National Scientific Standing:</w:t>
      </w:r>
      <w:r>
        <w:t xml:space="preserve"> </w:t>
      </w:r>
      <w:r>
        <w:t xml:space="preserve">Directly addressing the gap between Iran's 1.8% research expenditure (vs global average 2.4%) through optimized resource deployment</w:t>
      </w:r>
    </w:p>
    <w:p>
      <w:pPr>
        <w:numPr>
          <w:ilvl w:val="0"/>
          <w:numId w:val="1004"/>
        </w:numPr>
        <w:pStyle w:val="Compact"/>
      </w:pPr>
      <w:r>
        <w:rPr>
          <w:bCs/>
          <w:b/>
        </w:rPr>
        <w:t xml:space="preserve">Culturally Sustainable Solutions:</w:t>
      </w:r>
      <w:r>
        <w:t xml:space="preserve"> </w:t>
      </w:r>
      <w:r>
        <w:t xml:space="preserve">Avoiding Western-centric models by incorporating Iran's academic traditions and regulatory framework into the intervention design</w:t>
      </w:r>
    </w:p>
    <w:p>
      <w:pPr>
        <w:numPr>
          <w:ilvl w:val="0"/>
          <w:numId w:val="1004"/>
        </w:numPr>
        <w:pStyle w:val="Compact"/>
      </w:pPr>
      <w:r>
        <w:rPr>
          <w:bCs/>
          <w:b/>
        </w:rPr>
        <w:t xml:space="preserve">Regional Leadership Development:</w:t>
      </w:r>
      <w:r>
        <w:t xml:space="preserve"> </w:t>
      </w:r>
      <w:r>
        <w:t xml:space="preserve">Creating a replicable model for other Iranian cities (e.g., Isfahan, Shiraz) while establishing Tehran as the research innovation capital of the Middle East</w:t>
      </w:r>
    </w:p>
    <w:p>
      <w:pPr>
        <w:numPr>
          <w:ilvl w:val="0"/>
          <w:numId w:val="1004"/>
        </w:numPr>
        <w:pStyle w:val="Compact"/>
      </w:pPr>
      <w:r>
        <w:rPr>
          <w:bCs/>
          <w:b/>
        </w:rPr>
        <w:t xml:space="preserve">Economic Impact Potential:</w:t>
      </w:r>
      <w:r>
        <w:t xml:space="preserve"> </w:t>
      </w:r>
      <w:r>
        <w:t xml:space="preserve">Projecting 35% increase in patent applications from Tehran universities within 5 years through strengthened industry-academia linkages</w:t>
      </w:r>
    </w:p>
    <w:bookmarkEnd w:id="27"/>
    <w:bookmarkStart w:id="28" w:name="X96d7eb7933b3b0a14a2ded9886e8abf9d8f2d89"/>
    <w:p>
      <w:pPr>
        <w:pStyle w:val="Heading2"/>
      </w:pPr>
      <w:r>
        <w:t xml:space="preserve">6. Implementation Timeline for Iran Tehran Context</w:t>
      </w:r>
    </w:p>
    <w:p>
      <w:pPr>
        <w:pStyle w:val="FirstParagraph"/>
      </w:pPr>
      <w:r>
        <w:t xml:space="preserve">Phase</w:t>
      </w:r>
    </w:p>
    <w:p>
      <w:pPr>
        <w:pStyle w:val="BodyText"/>
      </w:pPr>
      <w:r>
        <w:t xml:space="preserve">Key Activities</w:t>
      </w:r>
    </w:p>
    <w:p>
      <w:pPr>
        <w:pStyle w:val="BodyText"/>
      </w:pPr>
      <w:r>
        <w:t xml:space="preserve">Tehran-Specific Considerations</w:t>
      </w:r>
    </w:p>
    <w:p>
      <w:pPr>
        <w:pStyle w:val="BodyText"/>
      </w:pPr>
      <w:r>
        <w:rPr>
          <w:bCs/>
          <w:b/>
        </w:rPr>
        <w:t xml:space="preserve">Months 1-4: Foundation Building</w:t>
      </w:r>
    </w:p>
    <w:p>
      <w:pPr>
        <w:pStyle w:val="BodyText"/>
      </w:pPr>
      <w:r>
        <w:t xml:space="preserve">Institutional audits, stakeholder mapping, policy review</w:t>
      </w:r>
    </w:p>
    <w:p>
      <w:pPr>
        <w:pStyle w:val="BodyText"/>
      </w:pPr>
      <w:r>
        <w:t xml:space="preserve">Alignment with Iran's National Science and Technology Policy (2023-2030)</w:t>
      </w:r>
    </w:p>
    <w:p>
      <w:pPr>
        <w:pStyle w:val="BodyText"/>
      </w:pPr>
      <w:r>
        <w:rPr>
          <w:bCs/>
          <w:b/>
        </w:rPr>
        <w:t xml:space="preserve">Months 5-18: Solution Co-Creation</w:t>
      </w:r>
    </w:p>
    <w:p>
      <w:pPr>
        <w:pStyle w:val="BodyText"/>
      </w:pPr>
      <w:r>
        <w:t xml:space="preserve">Workshops at Tehran University, Sharif Research Center</w:t>
      </w:r>
    </w:p>
    <w:p>
      <w:pPr>
        <w:pStyle w:val="BodyText"/>
      </w:pPr>
      <w:r>
        <w:t xml:space="preserve">Cultural sensitivity training for international partners; Persian-English bilingual support</w:t>
      </w:r>
    </w:p>
    <w:p>
      <w:pPr>
        <w:pStyle w:val="BodyText"/>
      </w:pPr>
      <w:r>
        <w:rPr>
          <w:bCs/>
          <w:b/>
        </w:rPr>
        <w:t xml:space="preserve">Months 19-36: Scaling &amp; Evaluation</w:t>
      </w:r>
    </w:p>
    <w:p>
      <w:pPr>
        <w:pStyle w:val="BodyText"/>
      </w:pPr>
      <w:r>
        <w:t xml:space="preserve">Platform launch, grant disbursement, impact measurement</w:t>
      </w:r>
    </w:p>
    <w:p>
      <w:pPr>
        <w:pStyle w:val="BodyText"/>
      </w:pPr>
      <w:r>
        <w:t xml:space="preserve">National Science Foundation Tehran office coordination for compliance</w:t>
      </w:r>
    </w:p>
    <w:bookmarkEnd w:id="28"/>
    <w:bookmarkStart w:id="29" w:name="Xc75006cf76a1a1b321d4b962fe5e32bd15f7c5b"/>
    <w:p>
      <w:pPr>
        <w:pStyle w:val="Heading2"/>
      </w:pPr>
      <w:r>
        <w:t xml:space="preserve">7. Expected Outcomes for the Academic Researcher Community</w:t>
      </w:r>
    </w:p>
    <w:p>
      <w:pPr>
        <w:pStyle w:val="FirstParagraph"/>
      </w:pPr>
      <w:r>
        <w:t xml:space="preserve">By the conclusion of this project, Tehran-based Academic Researchers will experience measurable improvements including:</w:t>
      </w:r>
    </w:p>
    <w:p>
      <w:pPr>
        <w:numPr>
          <w:ilvl w:val="0"/>
          <w:numId w:val="1005"/>
        </w:numPr>
        <w:pStyle w:val="Compact"/>
      </w:pPr>
      <w:r>
        <w:t xml:space="preserve">A 50% reduction in grant application processing time through Tehran-specific procedural reforms</w:t>
      </w:r>
    </w:p>
    <w:p>
      <w:pPr>
        <w:numPr>
          <w:ilvl w:val="0"/>
          <w:numId w:val="1005"/>
        </w:numPr>
        <w:pStyle w:val="Compact"/>
      </w:pPr>
      <w:r>
        <w:t xml:space="preserve">Establishment of 15+ new industry-research partnerships with Tehran-based companies (e.g., Iran Electronics Industries)</w:t>
      </w:r>
    </w:p>
    <w:p>
      <w:pPr>
        <w:numPr>
          <w:ilvl w:val="0"/>
          <w:numId w:val="1005"/>
        </w:numPr>
        <w:pStyle w:val="Compact"/>
      </w:pPr>
      <w:r>
        <w:t xml:space="preserve">Increased publication success rate: Targeting 30% growth in Q1 journal submissions from Tehran researchers</w:t>
      </w:r>
    </w:p>
    <w:p>
      <w:pPr>
        <w:numPr>
          <w:ilvl w:val="0"/>
          <w:numId w:val="1005"/>
        </w:numPr>
        <w:pStyle w:val="Compact"/>
      </w:pPr>
      <w:r>
        <w:t xml:space="preserve">Sustainable capacity building through the creation of "Research Excellence Hubs" at 5 major Tehran universities</w:t>
      </w:r>
    </w:p>
    <w:bookmarkEnd w:id="29"/>
    <w:bookmarkStart w:id="31" w:name="X95b479cf27b69d8674c42f6786a3cfb6d53bee4"/>
    <w:p>
      <w:pPr>
        <w:pStyle w:val="Heading2"/>
      </w:pPr>
      <w:r>
        <w:t xml:space="preserve">8. Conclusion: A Catalyst for Academic Transformation in Iran Tehran</w:t>
      </w:r>
    </w:p>
    <w:p>
      <w:pPr>
        <w:pStyle w:val="FirstParagraph"/>
      </w:pPr>
      <w:r>
        <w:t xml:space="preserve">This Research Proposal represents more than a study—it is a strategic investment in Iran's intellectual future. By centering the needs of Academic Researchers within Tehran's unique academic ecosystem, this initiative directly addresses the critical gap between Iran's educational potential and its research output. The proposed framework leverages Tehran's strengths as the nation's academic capital while implementing contextually grounded solutions that respect Iran's cultural and institutional environment. We anticipate this model will not only elevate research standards across Iran Tehran but also position the city as a leading knowledge hub in the Persian Gulf region, driving national development through evidence-based innovation.</w:t>
      </w:r>
    </w:p>
    <w:p>
      <w:pPr>
        <w:pStyle w:val="BodyText"/>
      </w:pPr>
      <w:r>
        <w:t xml:space="preserve">Through this comprehensive Research Proposal, we commit to empowering Academic Researchers in Iran Tehran to achieve global scholarly excellence while remaining rooted in their national academic identity. The success of this initiative will serve as a benchmark for research transformation throughout Iran's higher education sector.</w:t>
      </w:r>
    </w:p>
    <w:bookmarkStart w:id="30" w:name="word-count-892"/>
    <w:p>
      <w:pPr>
        <w:pStyle w:val="Heading3"/>
      </w:pPr>
      <w:r>
        <w:t xml:space="preserve">Word Count: 892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Iran Tehran</dc:title>
  <dc:creator/>
  <dc:language>en</dc:language>
  <cp:keywords/>
  <dcterms:created xsi:type="dcterms:W3CDTF">2026-07-21T04:31:54Z</dcterms:created>
  <dcterms:modified xsi:type="dcterms:W3CDTF">2026-07-21T04:31:54Z</dcterms:modified>
</cp:coreProperties>
</file>

<file path=docProps/custom.xml><?xml version="1.0" encoding="utf-8"?>
<Properties xmlns="http://schemas.openxmlformats.org/officeDocument/2006/custom-properties" xmlns:vt="http://schemas.openxmlformats.org/officeDocument/2006/docPropsVTypes"/>
</file>