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Academic</w:t>
      </w:r>
      <w:r>
        <w:t xml:space="preserve"> </w:t>
      </w:r>
      <w:r>
        <w:t xml:space="preserve">Researcher</w:t>
      </w:r>
      <w:r>
        <w:t xml:space="preserve"> </w:t>
      </w:r>
      <w:r>
        <w:t xml:space="preserve">Capacity</w:t>
      </w:r>
      <w:r>
        <w:t xml:space="preserve"> </w:t>
      </w:r>
      <w:r>
        <w:t xml:space="preserve">in</w:t>
      </w:r>
      <w:r>
        <w:t xml:space="preserve"> </w:t>
      </w:r>
      <w:r>
        <w:t xml:space="preserve">Kazakhstan</w:t>
      </w:r>
      <w:r>
        <w:t xml:space="preserve"> </w:t>
      </w:r>
      <w:r>
        <w:t xml:space="preserve">Almaty</w:t>
      </w:r>
    </w:p>
    <w:bookmarkStart w:id="28" w:name="X7fb9074404a06679980d12eb455d7e7ffc0eeb5"/>
    <w:p>
      <w:pPr>
        <w:pStyle w:val="Heading1"/>
      </w:pPr>
      <w:r>
        <w:t xml:space="preserve">Research Proposal: Advancing Academic Researcher Capacity in Kazakhstan Almaty for National Innovation Development</w:t>
      </w:r>
    </w:p>
    <w:bookmarkStart w:id="20" w:name="i.-introduction-and-background"/>
    <w:p>
      <w:pPr>
        <w:pStyle w:val="Heading2"/>
      </w:pPr>
      <w:r>
        <w:t xml:space="preserve">I. Introduction and Background</w:t>
      </w:r>
    </w:p>
    <w:p>
      <w:pPr>
        <w:pStyle w:val="FirstParagraph"/>
      </w:pPr>
      <w:r>
        <w:t xml:space="preserve">The role of the</w:t>
      </w:r>
      <w:r>
        <w:t xml:space="preserve"> </w:t>
      </w:r>
      <w:r>
        <w:rPr>
          <w:bCs/>
          <w:b/>
        </w:rPr>
        <w:t xml:space="preserve">Academic Researcher</w:t>
      </w:r>
      <w:r>
        <w:t xml:space="preserve"> </w:t>
      </w:r>
      <w:r>
        <w:t xml:space="preserve">is pivotal to Kazakhstan's strategic vision for transforming into a knowledge-based economy, as outlined in the "Kazakhstan 2050" Development Strategy and National Innovation Policy. Despite significant investments in higher education, Kazakhstan faces critical challenges in developing a sustainable ecosystem for world-class</w:t>
      </w:r>
      <w:r>
        <w:t xml:space="preserve"> </w:t>
      </w:r>
      <w:r>
        <w:rPr>
          <w:bCs/>
          <w:b/>
        </w:rPr>
        <w:t xml:space="preserve">Academic Researcher</w:t>
      </w:r>
      <w:r>
        <w:t xml:space="preserve"> </w:t>
      </w:r>
      <w:r>
        <w:t xml:space="preserve">productivity.</w:t>
      </w:r>
      <w:r>
        <w:t xml:space="preserve"> </w:t>
      </w:r>
      <w:r>
        <w:rPr>
          <w:bCs/>
          <w:b/>
        </w:rPr>
        <w:t xml:space="preserve">Kazakhstan Almaty</w:t>
      </w:r>
      <w:r>
        <w:t xml:space="preserve">, as the nation's cultural, educational, and economic hub, hosts over 60% of the country's research institutions—including Kazakh National University (KNU), Eurasian National University (ENU), and the Nazarbayev University Research and Innovation System—yet grapples with systemic barriers to researcher retention and output. This research proposal directly addresses the urgent need to strengthen</w:t>
      </w:r>
      <w:r>
        <w:t xml:space="preserve"> </w:t>
      </w:r>
      <w:r>
        <w:rPr>
          <w:bCs/>
          <w:b/>
        </w:rPr>
        <w:t xml:space="preserve">Academic Researcher</w:t>
      </w:r>
      <w:r>
        <w:t xml:space="preserve"> </w:t>
      </w:r>
      <w:r>
        <w:t xml:space="preserve">capacity within</w:t>
      </w:r>
      <w:r>
        <w:t xml:space="preserve"> </w:t>
      </w:r>
      <w:r>
        <w:rPr>
          <w:bCs/>
          <w:b/>
        </w:rPr>
        <w:t xml:space="preserve">Kazakhstan Almaty</w:t>
      </w:r>
      <w:r>
        <w:t xml:space="preserve">, positioning it as a catalyst for national scientific advancement.</w:t>
      </w:r>
    </w:p>
    <w:bookmarkEnd w:id="20"/>
    <w:bookmarkStart w:id="21" w:name="ii.-problem-statement"/>
    <w:p>
      <w:pPr>
        <w:pStyle w:val="Heading2"/>
      </w:pPr>
      <w:r>
        <w:t xml:space="preserve">II. Problem Statement</w:t>
      </w:r>
    </w:p>
    <w:p>
      <w:pPr>
        <w:pStyle w:val="FirstParagraph"/>
      </w:pPr>
      <w:r>
        <w:t xml:space="preserve">Audit data from the Ministry of Education and Science (2023) reveals that only 35% of researchers in</w:t>
      </w:r>
      <w:r>
        <w:t xml:space="preserve"> </w:t>
      </w:r>
      <w:r>
        <w:rPr>
          <w:bCs/>
          <w:b/>
        </w:rPr>
        <w:t xml:space="preserve">Kazakhstan Almaty</w:t>
      </w:r>
      <w:r>
        <w:t xml:space="preserve"> </w:t>
      </w:r>
      <w:r>
        <w:t xml:space="preserve">produce internationally indexed publications annually, compared to regional benchmarks (e.g., Turkey: 68%, Singapore: 81%). Key obstacles include fragmented research funding, limited interdisciplinary collaboration infrastructure, inadequate professional development programs for early-career</w:t>
      </w:r>
      <w:r>
        <w:t xml:space="preserve"> </w:t>
      </w:r>
      <w:r>
        <w:rPr>
          <w:bCs/>
          <w:b/>
        </w:rPr>
        <w:t xml:space="preserve">Academic Researcher</w:t>
      </w:r>
      <w:r>
        <w:t xml:space="preserve">s, and misalignment between university research agendas and national priority sectors (energy transition, digital transformation). Critically, Almaty's concentration of talent exacerbates brain drain as researchers seek opportunities abroad due to insufficient career pathways. This project directly tackles these gaps to build a self-sustaining research ecosystem anchored in</w:t>
      </w:r>
      <w:r>
        <w:t xml:space="preserve"> </w:t>
      </w:r>
      <w:r>
        <w:rPr>
          <w:bCs/>
          <w:b/>
        </w:rPr>
        <w:t xml:space="preserve">Kazakhstan Almaty</w:t>
      </w:r>
      <w:r>
        <w:t xml:space="preserve">.</w:t>
      </w:r>
    </w:p>
    <w:bookmarkEnd w:id="21"/>
    <w:bookmarkStart w:id="22" w:name="iii.-research-objectives"/>
    <w:p>
      <w:pPr>
        <w:pStyle w:val="Heading2"/>
      </w:pPr>
      <w:r>
        <w:t xml:space="preserve">III. Research Objectives</w:t>
      </w:r>
    </w:p>
    <w:p>
      <w:pPr>
        <w:numPr>
          <w:ilvl w:val="0"/>
          <w:numId w:val="1001"/>
        </w:numPr>
        <w:pStyle w:val="Compact"/>
      </w:pPr>
      <w:r>
        <w:rPr>
          <w:bCs/>
          <w:b/>
        </w:rPr>
        <w:t xml:space="preserve">Evaluate the current capacity framework</w:t>
      </w:r>
      <w:r>
        <w:t xml:space="preserve"> </w:t>
      </w:r>
      <w:r>
        <w:t xml:space="preserve">of Academic Researchers across 10 leading institutions in Almaty, assessing skills, resources, and institutional support systems.</w:t>
      </w:r>
    </w:p>
    <w:p>
      <w:pPr>
        <w:numPr>
          <w:ilvl w:val="0"/>
          <w:numId w:val="1001"/>
        </w:numPr>
        <w:pStyle w:val="Compact"/>
      </w:pPr>
      <w:r>
        <w:rPr>
          <w:bCs/>
          <w:b/>
        </w:rPr>
        <w:t xml:space="preserve">Co-design a scalable competency model</w:t>
      </w:r>
      <w:r>
        <w:t xml:space="preserve"> </w:t>
      </w:r>
      <w:r>
        <w:t xml:space="preserve">for Kazakhstan’s Academic Researchers that integrates international standards with local socio-economic context (e.g., Central Asian sustainability challenges).</w:t>
      </w:r>
    </w:p>
    <w:p>
      <w:pPr>
        <w:numPr>
          <w:ilvl w:val="0"/>
          <w:numId w:val="1001"/>
        </w:numPr>
        <w:pStyle w:val="Compact"/>
      </w:pPr>
      <w:r>
        <w:rPr>
          <w:bCs/>
          <w:b/>
        </w:rPr>
        <w:t xml:space="preserve">Develop and pilot a mentorship network</w:t>
      </w:r>
      <w:r>
        <w:t xml:space="preserve"> </w:t>
      </w:r>
      <w:r>
        <w:t xml:space="preserve">linking Almaty-based Academic Researchers with global experts and industry partners to enhance research relevance and commercialization pathways.</w:t>
      </w:r>
    </w:p>
    <w:bookmarkEnd w:id="22"/>
    <w:bookmarkStart w:id="23" w:name="iv.-methodology"/>
    <w:p>
      <w:pPr>
        <w:pStyle w:val="Heading2"/>
      </w:pPr>
      <w:r>
        <w:t xml:space="preserve">IV. Methodology</w:t>
      </w:r>
    </w:p>
    <w:p>
      <w:pPr>
        <w:pStyle w:val="FirstParagraph"/>
      </w:pPr>
      <w:r>
        <w:t xml:space="preserve">This mixed-methods study will be conducted over 18 months within</w:t>
      </w:r>
      <w:r>
        <w:t xml:space="preserve"> </w:t>
      </w:r>
      <w:r>
        <w:rPr>
          <w:bCs/>
          <w:b/>
        </w:rPr>
        <w:t xml:space="preserve">Kazakhstan Almaty</w:t>
      </w:r>
      <w:r>
        <w:t xml:space="preserve">’s academic landscape. Phase 1 (Months 1-4) involves:</w:t>
      </w:r>
      <w:r>
        <w:t xml:space="preserve"> </w:t>
      </w:r>
      <w:r>
        <w:t xml:space="preserve">• A quantitative survey of 400+ Academic Researchers across universities and research institutes in Almaty, measuring productivity metrics, funding access, and professional development needs.</w:t>
      </w:r>
      <w:r>
        <w:t xml:space="preserve"> </w:t>
      </w:r>
      <w:r>
        <w:t xml:space="preserve">• Key informant interviews with university R&amp;D directors and Ministry of Education officials to contextualize systemic challenges.</w:t>
      </w:r>
      <w:r>
        <w:br/>
      </w:r>
      <w:r>
        <w:br/>
      </w:r>
      <w:r>
        <w:t xml:space="preserve">Phase 2 (Months 5-12) includes:</w:t>
      </w:r>
      <w:r>
        <w:t xml:space="preserve"> </w:t>
      </w:r>
      <w:r>
        <w:t xml:space="preserve">• Workshops co-facilitated with the National Research Foundation of Kazakhstan (NRFK) to develop the competency framework, using Delphi methodology with Almaty-based Academic Researchers as core participants.</w:t>
      </w:r>
      <w:r>
        <w:t xml:space="preserve"> </w:t>
      </w:r>
      <w:r>
        <w:t xml:space="preserve">• Implementation of a pilot mentorship program connecting 30 early-career researchers (selected from Almaty institutions) with international partners via virtual and in-person exchanges.</w:t>
      </w:r>
      <w:r>
        <w:br/>
      </w:r>
      <w:r>
        <w:br/>
      </w:r>
      <w:r>
        <w:t xml:space="preserve">Phase 3 (Months 13-18):</w:t>
      </w:r>
      <w:r>
        <w:t xml:space="preserve"> </w:t>
      </w:r>
      <w:r>
        <w:t xml:space="preserve">• Impact assessment via pre/post-program analysis of publication output, grant acquisition, and industry collaboration rates.</w:t>
      </w:r>
      <w:r>
        <w:t xml:space="preserve"> </w:t>
      </w:r>
      <w:r>
        <w:t xml:space="preserve">• Policy brief development for the Government of Kazakhstan’s Ministry of Education, focusing on institutional reforms for Academic Researcher sustainability in Almaty.</w:t>
      </w:r>
    </w:p>
    <w:bookmarkEnd w:id="23"/>
    <w:bookmarkStart w:id="24" w:name="v.-significance-and-expected-outcomes"/>
    <w:p>
      <w:pPr>
        <w:pStyle w:val="Heading2"/>
      </w:pPr>
      <w:r>
        <w:t xml:space="preserve">V. Significance and Expected Outcomes</w:t>
      </w:r>
    </w:p>
    <w:p>
      <w:pPr>
        <w:pStyle w:val="FirstParagraph"/>
      </w:pPr>
      <w:r>
        <w:t xml:space="preserve">This research will yield tangible outcomes directly benefiting</w:t>
      </w:r>
      <w:r>
        <w:t xml:space="preserve"> </w:t>
      </w:r>
      <w:r>
        <w:rPr>
          <w:bCs/>
          <w:b/>
        </w:rPr>
        <w:t xml:space="preserve">Kazakhstan Almaty</w:t>
      </w:r>
      <w:r>
        <w:t xml:space="preserve"> </w:t>
      </w:r>
      <w:r>
        <w:t xml:space="preserve">and national development. The competency framework will serve as a blueprint for university curricula, ensuring Academic Researchers are equipped with future-proof skills (e.g., AI-driven data analysis, sustainable technology innovation). The mentorship network will reduce isolation among researchers in Almaty, fostering cross-institutional projects—critical for addressing Kazakhstan’s priority challenges like water security and green energy. Crucially, the project aligns with the "Digital Kazakhstan" initiative and UNESCO’s 2024 call for Global South research ecosystems. Expected outcomes include:</w:t>
      </w:r>
      <w:r>
        <w:t xml:space="preserve"> </w:t>
      </w:r>
      <w:r>
        <w:t xml:space="preserve">• 15+ new collaborative research projects between Almaty institutions and international partners.</w:t>
      </w:r>
      <w:r>
        <w:t xml:space="preserve"> </w:t>
      </w:r>
      <w:r>
        <w:t xml:space="preserve">• A publicly accessible competency toolkit adopted by all major universities in</w:t>
      </w:r>
      <w:r>
        <w:t xml:space="preserve"> </w:t>
      </w:r>
      <w:r>
        <w:rPr>
          <w:bCs/>
          <w:b/>
        </w:rPr>
        <w:t xml:space="preserve">Kazakhstan Almaty</w:t>
      </w:r>
      <w:r>
        <w:t xml:space="preserve">.</w:t>
      </w:r>
      <w:r>
        <w:t xml:space="preserve"> </w:t>
      </w:r>
      <w:r>
        <w:t xml:space="preserve">• Policy recommendations influencing the upcoming National Research Strategy (2026–2030), targeting a 40% increase in internationally indexed publications from Almaty-based researchers within five years.</w:t>
      </w:r>
    </w:p>
    <w:bookmarkEnd w:id="24"/>
    <w:bookmarkStart w:id="25" w:name="X2b48668d19214eaa04e891425ec010c10339130"/>
    <w:p>
      <w:pPr>
        <w:pStyle w:val="Heading2"/>
      </w:pPr>
      <w:r>
        <w:t xml:space="preserve">VI. Implementation Context: Why Kazakhstan Almaty?</w:t>
      </w:r>
    </w:p>
    <w:p>
      <w:pPr>
        <w:pStyle w:val="FirstParagraph"/>
      </w:pPr>
      <w:r>
        <w:rPr>
          <w:bCs/>
          <w:b/>
        </w:rPr>
        <w:t xml:space="preserve">Kazakhstan Almaty</w:t>
      </w:r>
      <w:r>
        <w:t xml:space="preserve"> </w:t>
      </w:r>
      <w:r>
        <w:t xml:space="preserve">is the optimal site for this research due to its unique confluence of factors:</w:t>
      </w:r>
      <w:r>
        <w:t xml:space="preserve"> </w:t>
      </w:r>
      <w:r>
        <w:t xml:space="preserve">• **Institutional Density**: Home to 70% of Kazakhstan’s top-ranked research universities and specialized institutes (e.g., Institute of Physics, Center for Sustainable Development).</w:t>
      </w:r>
      <w:r>
        <w:t xml:space="preserve"> </w:t>
      </w:r>
      <w:r>
        <w:t xml:space="preserve">• **Strategic Alignment**: Almaty hosts the "Almaty Innovation Hub," a government initiative prioritizing research commercialization—a perfect testing ground for our mentorship model.</w:t>
      </w:r>
      <w:r>
        <w:t xml:space="preserve"> </w:t>
      </w:r>
      <w:r>
        <w:t xml:space="preserve">• **Cultural Bridge**: As Kazakhstan’s most cosmopolitan city, Almaty enables seamless integration of Central Asian perspectives with global academic practices, enriching the Academic Researcher experience beyond Western-centric models.</w:t>
      </w:r>
    </w:p>
    <w:bookmarkEnd w:id="25"/>
    <w:bookmarkStart w:id="26" w:name="vii.-sustainability-and-scalability"/>
    <w:p>
      <w:pPr>
        <w:pStyle w:val="Heading2"/>
      </w:pPr>
      <w:r>
        <w:t xml:space="preserve">VII. Sustainability and Scalability</w:t>
      </w:r>
    </w:p>
    <w:p>
      <w:pPr>
        <w:pStyle w:val="FirstParagraph"/>
      </w:pPr>
      <w:r>
        <w:t xml:space="preserve">The project ensures longevity through institutional buy-in. The National Research Foundation of Kazakhstan (NRFK) has committed 30% cost-matching and pledged to institutionalize the competency framework within its national researcher accreditation system. Post-project, Almaty’s universities will jointly manage the mentorship network via a dedicated platform, leveraging existing infrastructure like the Kazakh Academic Network (KAN). Success in Almaty will provide a replicable model for Astana (Nur-Sultan) and regional centers, scaling impact across Kazakhstan’s research landscape. Crucially, the project avoids dependency on short-term grants by embedding solutions within national policy structures.</w:t>
      </w:r>
    </w:p>
    <w:bookmarkEnd w:id="26"/>
    <w:bookmarkStart w:id="27" w:name="viii.-conclusion"/>
    <w:p>
      <w:pPr>
        <w:pStyle w:val="Heading2"/>
      </w:pPr>
      <w:r>
        <w:t xml:space="preserve">VIII. Conclusion</w:t>
      </w:r>
    </w:p>
    <w:p>
      <w:pPr>
        <w:pStyle w:val="FirstParagraph"/>
      </w:pPr>
      <w:r>
        <w:t xml:space="preserve">The advancement of the</w:t>
      </w:r>
      <w:r>
        <w:t xml:space="preserve"> </w:t>
      </w:r>
      <w:r>
        <w:rPr>
          <w:bCs/>
          <w:b/>
        </w:rPr>
        <w:t xml:space="preserve">Academic Researcher</w:t>
      </w:r>
      <w:r>
        <w:t xml:space="preserve"> </w:t>
      </w:r>
      <w:r>
        <w:t xml:space="preserve">in</w:t>
      </w:r>
      <w:r>
        <w:t xml:space="preserve"> </w:t>
      </w:r>
      <w:r>
        <w:rPr>
          <w:bCs/>
          <w:b/>
        </w:rPr>
        <w:t xml:space="preserve">Kazakhstan Almaty</w:t>
      </w:r>
      <w:r>
        <w:t xml:space="preserve"> </w:t>
      </w:r>
      <w:r>
        <w:t xml:space="preserve">is not merely an academic pursuit—it is a strategic imperative for Kazakhstan’s economic sovereignty and global competitiveness. This research proposal delivers a concrete, contextually grounded roadmap to transform Almaty from a center of research activity into the nucleus of an innovation-driven ecosystem. By empowering Academic Researchers with the tools, networks, and institutional support they need, we catalyze discoveries that address local challenges while contributing to international knowledge. The outcomes will directly strengthen Kazakhstan’s position as a leader in Central Asia’s scientific community and fulfill national aspirations for a sustainable, knowledge-intensive future.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Academic Researcher Capacity in Kazakhstan Almaty</dc:title>
  <dc:creator/>
  <dc:language>en</dc:language>
  <cp:keywords/>
  <dcterms:created xsi:type="dcterms:W3CDTF">2026-07-21T08:31:29Z</dcterms:created>
  <dcterms:modified xsi:type="dcterms:W3CDTF">2026-07-21T08:31:29Z</dcterms:modified>
</cp:coreProperties>
</file>

<file path=docProps/custom.xml><?xml version="1.0" encoding="utf-8"?>
<Properties xmlns="http://schemas.openxmlformats.org/officeDocument/2006/custom-properties" xmlns:vt="http://schemas.openxmlformats.org/officeDocument/2006/docPropsVTypes"/>
</file>